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0554" w:rsidRPr="00790F05"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…………AĞIR CEZA MAHKEMESİ BAŞKANLIĞINA</w:t>
      </w:r>
    </w:p>
    <w:p w14:paraId="00000002" w14:textId="25320CD4" w:rsidR="009E0554" w:rsidRPr="00790F05"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highlight w:val="yellow"/>
        </w:rPr>
        <w:t>(Hükmü veren ilk derece ağır ceza mahkemesinin adı yazılmalı)</w:t>
      </w:r>
    </w:p>
    <w:p w14:paraId="00000003" w14:textId="77777777" w:rsidR="009E0554" w:rsidRPr="00790F05"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 xml:space="preserve">                                                                                                                                           </w:t>
      </w:r>
    </w:p>
    <w:p w14:paraId="00000004" w14:textId="2672593A" w:rsidR="009E0554" w:rsidRPr="00790F05" w:rsidRDefault="00000000" w:rsidP="00B763D9">
      <w:pPr>
        <w:tabs>
          <w:tab w:val="left" w:pos="709"/>
          <w:tab w:val="left" w:pos="851"/>
        </w:tabs>
        <w:spacing w:line="23" w:lineRule="atLeast"/>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 xml:space="preserve"> </w:t>
      </w:r>
      <w:r w:rsidRPr="00790F05">
        <w:rPr>
          <w:rFonts w:ascii="Palatino Linotype" w:eastAsia="Palatino Linotype" w:hAnsi="Palatino Linotype" w:cs="Palatino Linotype"/>
          <w:b/>
          <w:color w:val="000000" w:themeColor="text1"/>
          <w:u w:val="single"/>
        </w:rPr>
        <w:t xml:space="preserve">Dosya </w:t>
      </w:r>
      <w:proofErr w:type="gramStart"/>
      <w:r w:rsidRPr="00790F05">
        <w:rPr>
          <w:rFonts w:ascii="Palatino Linotype" w:eastAsia="Palatino Linotype" w:hAnsi="Palatino Linotype" w:cs="Palatino Linotype"/>
          <w:b/>
          <w:color w:val="000000" w:themeColor="text1"/>
          <w:u w:val="single"/>
        </w:rPr>
        <w:t>No:</w:t>
      </w:r>
      <w:r w:rsidRPr="00790F05">
        <w:rPr>
          <w:rFonts w:ascii="Palatino Linotype" w:eastAsia="Palatino Linotype" w:hAnsi="Palatino Linotype" w:cs="Palatino Linotype"/>
          <w:b/>
          <w:color w:val="000000" w:themeColor="text1"/>
        </w:rPr>
        <w:t>…</w:t>
      </w:r>
      <w:proofErr w:type="gramEnd"/>
      <w:r w:rsidRPr="00790F05">
        <w:rPr>
          <w:rFonts w:ascii="Palatino Linotype" w:eastAsia="Palatino Linotype" w:hAnsi="Palatino Linotype" w:cs="Palatino Linotype"/>
          <w:b/>
          <w:color w:val="000000" w:themeColor="text1"/>
        </w:rPr>
        <w:t>/...</w:t>
      </w:r>
      <w:proofErr w:type="gramStart"/>
      <w:r w:rsidRPr="00790F05">
        <w:rPr>
          <w:rFonts w:ascii="Palatino Linotype" w:eastAsia="Palatino Linotype" w:hAnsi="Palatino Linotype" w:cs="Palatino Linotype"/>
          <w:b/>
          <w:color w:val="000000" w:themeColor="text1"/>
        </w:rPr>
        <w:t>E,/</w:t>
      </w:r>
      <w:proofErr w:type="gramEnd"/>
      <w:r w:rsidRPr="00790F05">
        <w:rPr>
          <w:rFonts w:ascii="Palatino Linotype" w:eastAsia="Palatino Linotype" w:hAnsi="Palatino Linotype" w:cs="Palatino Linotype"/>
          <w:b/>
          <w:color w:val="000000" w:themeColor="text1"/>
        </w:rPr>
        <w:t xml:space="preserve">… K.  </w:t>
      </w:r>
      <w:r w:rsidRPr="00790F05">
        <w:rPr>
          <w:rFonts w:ascii="Palatino Linotype" w:eastAsia="Palatino Linotype" w:hAnsi="Palatino Linotype" w:cs="Palatino Linotype"/>
          <w:b/>
          <w:color w:val="000000" w:themeColor="text1"/>
          <w:highlight w:val="yellow"/>
        </w:rPr>
        <w:t>(İlk derece mahkemesi dava dosya numarası yazılmalı)</w:t>
      </w:r>
    </w:p>
    <w:p w14:paraId="00000005" w14:textId="77777777" w:rsidR="009E0554" w:rsidRPr="00790F05" w:rsidRDefault="009E0554" w:rsidP="00B763D9">
      <w:pPr>
        <w:tabs>
          <w:tab w:val="left" w:pos="709"/>
          <w:tab w:val="left" w:pos="851"/>
        </w:tabs>
        <w:spacing w:line="23" w:lineRule="atLeast"/>
        <w:rPr>
          <w:rFonts w:ascii="Palatino Linotype" w:eastAsia="Palatino Linotype" w:hAnsi="Palatino Linotype" w:cs="Palatino Linotype"/>
          <w:b/>
          <w:color w:val="000000" w:themeColor="text1"/>
        </w:rPr>
      </w:pPr>
    </w:p>
    <w:p w14:paraId="00000006" w14:textId="77777777" w:rsidR="009E0554" w:rsidRPr="00790F05" w:rsidRDefault="009E0554"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p>
    <w:p w14:paraId="00000007" w14:textId="77777777" w:rsidR="009E0554" w:rsidRPr="00790F05"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u w:val="single"/>
        </w:rPr>
        <w:t xml:space="preserve">Talepte Bulunan Hükümlü                       </w:t>
      </w:r>
      <w:proofErr w:type="gramStart"/>
      <w:r w:rsidRPr="00790F05">
        <w:rPr>
          <w:rFonts w:ascii="Palatino Linotype" w:eastAsia="Palatino Linotype" w:hAnsi="Palatino Linotype" w:cs="Palatino Linotype"/>
          <w:b/>
          <w:color w:val="000000" w:themeColor="text1"/>
          <w:u w:val="single"/>
        </w:rPr>
        <w:t xml:space="preserve">  :</w:t>
      </w:r>
      <w:proofErr w:type="gramEnd"/>
      <w:r w:rsidRPr="00790F05">
        <w:rPr>
          <w:rFonts w:ascii="Palatino Linotype" w:eastAsia="Palatino Linotype" w:hAnsi="Palatino Linotype" w:cs="Palatino Linotype"/>
          <w:b/>
          <w:color w:val="000000" w:themeColor="text1"/>
          <w:u w:val="single"/>
        </w:rPr>
        <w:t xml:space="preserve"> </w:t>
      </w:r>
    </w:p>
    <w:p w14:paraId="00000008" w14:textId="77777777" w:rsidR="009E0554" w:rsidRPr="00790F05"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u w:val="single"/>
        </w:rPr>
      </w:pPr>
      <w:r w:rsidRPr="00790F05">
        <w:rPr>
          <w:rFonts w:ascii="Palatino Linotype" w:eastAsia="Palatino Linotype" w:hAnsi="Palatino Linotype" w:cs="Palatino Linotype"/>
          <w:b/>
          <w:color w:val="000000" w:themeColor="text1"/>
        </w:rPr>
        <w:t xml:space="preserve">Talepte Bulunan                                     </w:t>
      </w:r>
      <w:proofErr w:type="gramStart"/>
      <w:r w:rsidRPr="00790F05">
        <w:rPr>
          <w:rFonts w:ascii="Palatino Linotype" w:eastAsia="Palatino Linotype" w:hAnsi="Palatino Linotype" w:cs="Palatino Linotype"/>
          <w:b/>
          <w:color w:val="000000" w:themeColor="text1"/>
        </w:rPr>
        <w:t xml:space="preserve">  :</w:t>
      </w:r>
      <w:proofErr w:type="gramEnd"/>
      <w:r w:rsidRPr="00790F05">
        <w:rPr>
          <w:rFonts w:ascii="Palatino Linotype" w:eastAsia="Palatino Linotype" w:hAnsi="Palatino Linotype" w:cs="Palatino Linotype"/>
          <w:b/>
          <w:color w:val="000000" w:themeColor="text1"/>
        </w:rPr>
        <w:t xml:space="preserve"> </w:t>
      </w:r>
      <w:r w:rsidRPr="00790F05">
        <w:rPr>
          <w:rFonts w:ascii="Palatino Linotype" w:eastAsia="Palatino Linotype" w:hAnsi="Palatino Linotype" w:cs="Palatino Linotype"/>
          <w:b/>
          <w:color w:val="000000" w:themeColor="text1"/>
          <w:highlight w:val="yellow"/>
        </w:rPr>
        <w:t>(Vasi ya da eş talepte bulunuyorsa, o kişinin bilgileri.  Eğer kişi kendisi başvuru yapacaksa bu kısmı doldurmaya gerek yok)</w:t>
      </w:r>
    </w:p>
    <w:p w14:paraId="64B47E67" w14:textId="6F36781C" w:rsidR="00E51CE3" w:rsidRPr="00790F05" w:rsidRDefault="00000000"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b/>
          <w:color w:val="000000" w:themeColor="text1"/>
          <w:u w:val="single"/>
        </w:rPr>
        <w:t xml:space="preserve">Talep Konusu                                      </w:t>
      </w:r>
      <w:proofErr w:type="gramStart"/>
      <w:r w:rsidRPr="00790F05">
        <w:rPr>
          <w:rFonts w:ascii="Palatino Linotype" w:eastAsia="Palatino Linotype" w:hAnsi="Palatino Linotype" w:cs="Palatino Linotype"/>
          <w:b/>
          <w:color w:val="000000" w:themeColor="text1"/>
          <w:u w:val="single"/>
        </w:rPr>
        <w:tab/>
        <w:t xml:space="preserve"> :</w:t>
      </w:r>
      <w:proofErr w:type="gramEnd"/>
      <w:r w:rsidRPr="00790F05">
        <w:rPr>
          <w:rFonts w:ascii="Palatino Linotype" w:eastAsia="Palatino Linotype" w:hAnsi="Palatino Linotype" w:cs="Palatino Linotype"/>
          <w:b/>
          <w:color w:val="000000" w:themeColor="text1"/>
        </w:rPr>
        <w:t xml:space="preserve">  </w:t>
      </w:r>
      <w:r w:rsidRPr="00790F05">
        <w:rPr>
          <w:rFonts w:ascii="Palatino Linotype" w:eastAsia="Palatino Linotype" w:hAnsi="Palatino Linotype" w:cs="Palatino Linotype"/>
          <w:color w:val="000000" w:themeColor="text1"/>
        </w:rPr>
        <w:t xml:space="preserve">Avrupa İnsan Hakları Mahkemesi’nin (AİHM) </w:t>
      </w:r>
      <w:r w:rsidRPr="00790F05">
        <w:rPr>
          <w:rFonts w:ascii="Palatino Linotype" w:eastAsia="Palatino Linotype" w:hAnsi="Palatino Linotype" w:cs="Palatino Linotype"/>
          <w:b/>
          <w:bCs/>
          <w:color w:val="000000" w:themeColor="text1"/>
        </w:rPr>
        <w:t xml:space="preserve">Demirhan ve Diğerleri/Türkiye </w:t>
      </w:r>
      <w:r w:rsidR="00E51CE3" w:rsidRPr="00790F05">
        <w:rPr>
          <w:rFonts w:ascii="Palatino Linotype" w:eastAsia="Palatino Linotype" w:hAnsi="Palatino Linotype" w:cs="Palatino Linotype"/>
          <w:color w:val="000000" w:themeColor="text1"/>
        </w:rPr>
        <w:t>başvurusunda</w:t>
      </w:r>
      <w:r w:rsidRPr="00790F05">
        <w:rPr>
          <w:rFonts w:ascii="Palatino Linotype" w:eastAsia="Palatino Linotype" w:hAnsi="Palatino Linotype" w:cs="Palatino Linotype"/>
          <w:color w:val="000000" w:themeColor="text1"/>
        </w:rPr>
        <w:t>, AİHS’in 6 ve 7. maddelerinden verdiği ihlal kararı</w:t>
      </w:r>
      <w:r w:rsidR="001F67CC">
        <w:rPr>
          <w:rFonts w:ascii="Palatino Linotype" w:eastAsia="Palatino Linotype" w:hAnsi="Palatino Linotype" w:cs="Palatino Linotype"/>
          <w:color w:val="000000" w:themeColor="text1"/>
        </w:rPr>
        <w:t xml:space="preserve"> ve </w:t>
      </w:r>
      <w:r w:rsidR="001F67CC" w:rsidRPr="001F67CC">
        <w:rPr>
          <w:rFonts w:ascii="Palatino Linotype" w:eastAsia="Palatino Linotype" w:hAnsi="Palatino Linotype" w:cs="Palatino Linotype"/>
          <w:b/>
          <w:bCs/>
          <w:color w:val="000000" w:themeColor="text1"/>
        </w:rPr>
        <w:t>Yasak/Türkiye</w:t>
      </w:r>
      <w:r w:rsidR="001F67CC">
        <w:rPr>
          <w:rFonts w:ascii="Palatino Linotype" w:eastAsia="Palatino Linotype" w:hAnsi="Palatino Linotype" w:cs="Palatino Linotype"/>
          <w:color w:val="000000" w:themeColor="text1"/>
        </w:rPr>
        <w:t xml:space="preserve"> kararı </w:t>
      </w:r>
      <w:r w:rsidRPr="00790F05">
        <w:rPr>
          <w:rFonts w:ascii="Palatino Linotype" w:eastAsia="Palatino Linotype" w:hAnsi="Palatino Linotype" w:cs="Palatino Linotype"/>
          <w:color w:val="000000" w:themeColor="text1"/>
        </w:rPr>
        <w:t xml:space="preserve"> sonrası, Mahkemenizin …………. </w:t>
      </w:r>
      <w:r w:rsidR="00E51CE3" w:rsidRPr="00790F05">
        <w:rPr>
          <w:rFonts w:ascii="Palatino Linotype" w:eastAsia="Palatino Linotype" w:hAnsi="Palatino Linotype" w:cs="Palatino Linotype"/>
          <w:color w:val="000000" w:themeColor="text1"/>
        </w:rPr>
        <w:t>T</w:t>
      </w:r>
      <w:r w:rsidRPr="00790F05">
        <w:rPr>
          <w:rFonts w:ascii="Palatino Linotype" w:eastAsia="Palatino Linotype" w:hAnsi="Palatino Linotype" w:cs="Palatino Linotype"/>
          <w:color w:val="000000" w:themeColor="text1"/>
        </w:rPr>
        <w:t>arih</w:t>
      </w:r>
      <w:r w:rsidR="00E51CE3" w:rsidRPr="00790F05">
        <w:rPr>
          <w:rFonts w:ascii="Palatino Linotype" w:eastAsia="Palatino Linotype" w:hAnsi="Palatino Linotype" w:cs="Palatino Linotype"/>
          <w:color w:val="000000" w:themeColor="text1"/>
        </w:rPr>
        <w:t>li,</w:t>
      </w:r>
      <w:r w:rsidRPr="00790F05">
        <w:rPr>
          <w:rFonts w:ascii="Palatino Linotype" w:eastAsia="Palatino Linotype" w:hAnsi="Palatino Linotype" w:cs="Palatino Linotype"/>
          <w:color w:val="000000" w:themeColor="text1"/>
        </w:rPr>
        <w:t xml:space="preserve"> ………. E. </w:t>
      </w:r>
      <w:r w:rsidR="00E51CE3" w:rsidRPr="00790F05">
        <w:rPr>
          <w:rFonts w:ascii="Palatino Linotype" w:eastAsia="Palatino Linotype" w:hAnsi="Palatino Linotype" w:cs="Palatino Linotype"/>
          <w:color w:val="000000" w:themeColor="text1"/>
        </w:rPr>
        <w:t xml:space="preserve">ve </w:t>
      </w:r>
      <w:r w:rsidRPr="00790F05">
        <w:rPr>
          <w:rFonts w:ascii="Palatino Linotype" w:eastAsia="Palatino Linotype" w:hAnsi="Palatino Linotype" w:cs="Palatino Linotype"/>
          <w:color w:val="000000" w:themeColor="text1"/>
        </w:rPr>
        <w:t>…</w:t>
      </w:r>
      <w:proofErr w:type="gramStart"/>
      <w:r w:rsidRPr="00790F05">
        <w:rPr>
          <w:rFonts w:ascii="Palatino Linotype" w:eastAsia="Palatino Linotype" w:hAnsi="Palatino Linotype" w:cs="Palatino Linotype"/>
          <w:color w:val="000000" w:themeColor="text1"/>
        </w:rPr>
        <w:t>…….</w:t>
      </w:r>
      <w:proofErr w:type="gramEnd"/>
      <w:r w:rsidRPr="00790F05">
        <w:rPr>
          <w:rFonts w:ascii="Palatino Linotype" w:eastAsia="Palatino Linotype" w:hAnsi="Palatino Linotype" w:cs="Palatino Linotype"/>
          <w:color w:val="000000" w:themeColor="text1"/>
        </w:rPr>
        <w:t xml:space="preserve">.K.  </w:t>
      </w:r>
      <w:proofErr w:type="gramStart"/>
      <w:r w:rsidRPr="00790F05">
        <w:rPr>
          <w:rFonts w:ascii="Palatino Linotype" w:eastAsia="Palatino Linotype" w:hAnsi="Palatino Linotype" w:cs="Palatino Linotype"/>
          <w:color w:val="000000" w:themeColor="text1"/>
        </w:rPr>
        <w:t>sayılı</w:t>
      </w:r>
      <w:proofErr w:type="gramEnd"/>
      <w:r w:rsidR="00E51CE3" w:rsidRPr="00790F05">
        <w:rPr>
          <w:rFonts w:ascii="Palatino Linotype" w:eastAsia="Palatino Linotype" w:hAnsi="Palatino Linotype" w:cs="Palatino Linotype"/>
          <w:color w:val="000000" w:themeColor="text1"/>
        </w:rPr>
        <w:t xml:space="preserve"> </w:t>
      </w:r>
      <w:r w:rsidRPr="00790F05">
        <w:rPr>
          <w:rFonts w:ascii="Palatino Linotype" w:eastAsia="Palatino Linotype" w:hAnsi="Palatino Linotype" w:cs="Palatino Linotype"/>
          <w:color w:val="000000" w:themeColor="text1"/>
        </w:rPr>
        <w:t>kesinleşmiş kararın</w:t>
      </w:r>
      <w:r w:rsidR="00E51CE3" w:rsidRPr="00790F05">
        <w:rPr>
          <w:rFonts w:ascii="Palatino Linotype" w:eastAsia="Palatino Linotype" w:hAnsi="Palatino Linotype" w:cs="Palatino Linotype"/>
          <w:color w:val="000000" w:themeColor="text1"/>
        </w:rPr>
        <w:t>;</w:t>
      </w:r>
    </w:p>
    <w:p w14:paraId="5B1F6CB8" w14:textId="7DFF80FE" w:rsidR="00E51CE3" w:rsidRPr="00790F05"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t xml:space="preserve">- </w:t>
      </w:r>
      <w:r w:rsidR="007A7CFE" w:rsidRPr="00790F05">
        <w:rPr>
          <w:rFonts w:ascii="Palatino Linotype" w:eastAsia="Palatino Linotype" w:hAnsi="Palatino Linotype" w:cs="Palatino Linotype"/>
          <w:color w:val="000000" w:themeColor="text1"/>
        </w:rPr>
        <w:t>Ö</w:t>
      </w:r>
      <w:r w:rsidRPr="00790F05">
        <w:rPr>
          <w:rFonts w:ascii="Palatino Linotype" w:eastAsia="Palatino Linotype" w:hAnsi="Palatino Linotype" w:cs="Palatino Linotype"/>
          <w:color w:val="000000" w:themeColor="text1"/>
        </w:rPr>
        <w:t xml:space="preserve">ncelikle </w:t>
      </w:r>
      <w:r w:rsidRPr="00790F05">
        <w:rPr>
          <w:rFonts w:ascii="Palatino Linotype" w:eastAsia="Palatino Linotype" w:hAnsi="Palatino Linotype" w:cs="Palatino Linotype"/>
          <w:b/>
          <w:color w:val="000000" w:themeColor="text1"/>
        </w:rPr>
        <w:t>CMK’nın 311/1-f maddesi uyarınca yeniden yargılamaya konu yapılmasına,</w:t>
      </w:r>
      <w:r w:rsidRPr="00790F05">
        <w:rPr>
          <w:rFonts w:ascii="Palatino Linotype" w:eastAsia="Palatino Linotype" w:hAnsi="Palatino Linotype" w:cs="Palatino Linotype"/>
          <w:color w:val="000000" w:themeColor="text1"/>
        </w:rPr>
        <w:t xml:space="preserve"> </w:t>
      </w:r>
    </w:p>
    <w:p w14:paraId="7BE36316" w14:textId="77777777" w:rsidR="00413A39" w:rsidRPr="00790F05"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t xml:space="preserve">- </w:t>
      </w:r>
      <w:r w:rsidR="007A7CFE" w:rsidRPr="00790F05">
        <w:rPr>
          <w:rFonts w:ascii="Palatino Linotype" w:eastAsia="Palatino Linotype" w:hAnsi="Palatino Linotype" w:cs="Palatino Linotype"/>
          <w:color w:val="000000" w:themeColor="text1"/>
        </w:rPr>
        <w:t>A</w:t>
      </w:r>
      <w:r w:rsidRPr="00790F05">
        <w:rPr>
          <w:rFonts w:ascii="Palatino Linotype" w:eastAsia="Palatino Linotype" w:hAnsi="Palatino Linotype" w:cs="Palatino Linotype"/>
          <w:color w:val="000000" w:themeColor="text1"/>
        </w:rPr>
        <w:t xml:space="preserve">kabinde ise suçun yasal unsurları oluşmadan </w:t>
      </w:r>
      <w:proofErr w:type="gramStart"/>
      <w:r w:rsidRPr="00790F05">
        <w:rPr>
          <w:rFonts w:ascii="Palatino Linotype" w:eastAsia="Palatino Linotype" w:hAnsi="Palatino Linotype" w:cs="Palatino Linotype"/>
          <w:color w:val="000000" w:themeColor="text1"/>
        </w:rPr>
        <w:t>mahkumiyet</w:t>
      </w:r>
      <w:proofErr w:type="gramEnd"/>
      <w:r w:rsidRPr="00790F05">
        <w:rPr>
          <w:rFonts w:ascii="Palatino Linotype" w:eastAsia="Palatino Linotype" w:hAnsi="Palatino Linotype" w:cs="Palatino Linotype"/>
          <w:color w:val="000000" w:themeColor="text1"/>
        </w:rPr>
        <w:t xml:space="preserve"> kararı verildiği AİHM kararı ile tespit edildiğinden dolayı derhal </w:t>
      </w:r>
      <w:r w:rsidRPr="00790F05">
        <w:rPr>
          <w:rFonts w:ascii="Palatino Linotype" w:eastAsia="Palatino Linotype" w:hAnsi="Palatino Linotype" w:cs="Palatino Linotype"/>
          <w:color w:val="000000" w:themeColor="text1"/>
          <w:highlight w:val="yellow"/>
        </w:rPr>
        <w:t>beraatıma/eşimin/vasisi olduğum</w:t>
      </w:r>
      <w:proofErr w:type="gramStart"/>
      <w:r w:rsidRPr="00790F05">
        <w:rPr>
          <w:rFonts w:ascii="Palatino Linotype" w:eastAsia="Palatino Linotype" w:hAnsi="Palatino Linotype" w:cs="Palatino Linotype"/>
          <w:color w:val="000000" w:themeColor="text1"/>
          <w:highlight w:val="yellow"/>
        </w:rPr>
        <w:t xml:space="preserve"> ....</w:t>
      </w:r>
      <w:proofErr w:type="gramEnd"/>
      <w:r w:rsidRPr="00790F05">
        <w:rPr>
          <w:rFonts w:ascii="Palatino Linotype" w:eastAsia="Palatino Linotype" w:hAnsi="Palatino Linotype" w:cs="Palatino Linotype"/>
          <w:color w:val="000000" w:themeColor="text1"/>
          <w:highlight w:val="yellow"/>
        </w:rPr>
        <w:t>’in/müvekkilin beraatına</w:t>
      </w:r>
      <w:r w:rsidRPr="00790F05">
        <w:rPr>
          <w:rFonts w:ascii="Palatino Linotype" w:eastAsia="Palatino Linotype" w:hAnsi="Palatino Linotype" w:cs="Palatino Linotype"/>
          <w:color w:val="000000" w:themeColor="text1"/>
        </w:rPr>
        <w:t xml:space="preserve"> karar verilmesine</w:t>
      </w:r>
      <w:r w:rsidR="00413A39" w:rsidRPr="00790F05">
        <w:rPr>
          <w:rFonts w:ascii="Palatino Linotype" w:eastAsia="Palatino Linotype" w:hAnsi="Palatino Linotype" w:cs="Palatino Linotype"/>
          <w:color w:val="000000" w:themeColor="text1"/>
        </w:rPr>
        <w:t>,</w:t>
      </w:r>
    </w:p>
    <w:p w14:paraId="5588CA68" w14:textId="7E584398" w:rsidR="00E51CE3" w:rsidRPr="00790F05" w:rsidRDefault="00413A39"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ab/>
      </w:r>
      <w:r w:rsidRPr="00790F05">
        <w:rPr>
          <w:rFonts w:ascii="Palatino Linotype" w:eastAsia="Palatino Linotype" w:hAnsi="Palatino Linotype" w:cs="Palatino Linotype"/>
          <w:color w:val="000000" w:themeColor="text1"/>
        </w:rPr>
        <w:tab/>
        <w:t xml:space="preserve">                                                               -</w:t>
      </w:r>
      <w:r w:rsidR="00E51CE3" w:rsidRPr="00790F05">
        <w:rPr>
          <w:rFonts w:ascii="Palatino Linotype" w:eastAsia="Palatino Linotype" w:hAnsi="Palatino Linotype" w:cs="Palatino Linotype"/>
          <w:color w:val="000000" w:themeColor="text1"/>
        </w:rPr>
        <w:t xml:space="preserve"> </w:t>
      </w:r>
      <w:r w:rsidRPr="00790F05">
        <w:rPr>
          <w:rFonts w:ascii="Palatino Linotype" w:eastAsia="Palatino Linotype" w:hAnsi="Palatino Linotype" w:cs="Palatino Linotype"/>
          <w:color w:val="000000" w:themeColor="text1"/>
        </w:rPr>
        <w:t>Y</w:t>
      </w:r>
      <w:r w:rsidR="00E51CE3" w:rsidRPr="00790F05">
        <w:rPr>
          <w:rFonts w:ascii="Palatino Linotype" w:eastAsia="Palatino Linotype" w:hAnsi="Palatino Linotype" w:cs="Palatino Linotype"/>
          <w:color w:val="000000" w:themeColor="text1"/>
        </w:rPr>
        <w:t xml:space="preserve">argılama sonuna kadar </w:t>
      </w:r>
      <w:r w:rsidR="00E51CE3" w:rsidRPr="00790F05">
        <w:rPr>
          <w:rFonts w:ascii="Palatino Linotype" w:eastAsia="Palatino Linotype" w:hAnsi="Palatino Linotype" w:cs="Palatino Linotype"/>
          <w:color w:val="000000" w:themeColor="text1"/>
          <w:highlight w:val="yellow"/>
        </w:rPr>
        <w:t>infazın/infazını (ilgili kişi tutukluysa)</w:t>
      </w:r>
      <w:r w:rsidR="00E51CE3" w:rsidRPr="00790F05">
        <w:rPr>
          <w:rFonts w:ascii="Palatino Linotype" w:eastAsia="Palatino Linotype" w:hAnsi="Palatino Linotype" w:cs="Palatino Linotype"/>
          <w:color w:val="000000" w:themeColor="text1"/>
        </w:rPr>
        <w:t xml:space="preserve"> tedbiren durdurulmasına,</w:t>
      </w:r>
    </w:p>
    <w:p w14:paraId="3F3359EF" w14:textId="6A2ABE7F" w:rsidR="00CF01D1" w:rsidRPr="00790F05" w:rsidRDefault="00413A39" w:rsidP="00CF01D1">
      <w:pPr>
        <w:tabs>
          <w:tab w:val="left" w:pos="851"/>
        </w:tabs>
        <w:spacing w:line="23" w:lineRule="atLeast"/>
        <w:ind w:left="3969" w:hanging="2976"/>
        <w:jc w:val="both"/>
        <w:rPr>
          <w:rFonts w:ascii="Palatino Linotype" w:eastAsia="Palatino Linotype" w:hAnsi="Palatino Linotype" w:cs="Palatino Linotype"/>
          <w:color w:val="000000" w:themeColor="text1"/>
          <w:lang w:val="tr-TR"/>
        </w:rPr>
      </w:pPr>
      <w:bookmarkStart w:id="0" w:name="_Hlk219537543"/>
      <w:r w:rsidRPr="00790F05">
        <w:rPr>
          <w:rFonts w:ascii="Palatino Linotype" w:eastAsia="Palatino Linotype" w:hAnsi="Palatino Linotype" w:cs="Palatino Linotype"/>
          <w:color w:val="000000" w:themeColor="text1"/>
        </w:rPr>
        <w:t xml:space="preserve">                                                             </w:t>
      </w:r>
      <w:bookmarkStart w:id="1" w:name="_Hlk219538079"/>
      <w:r w:rsidRPr="00790F05">
        <w:rPr>
          <w:rFonts w:ascii="Palatino Linotype" w:eastAsia="Palatino Linotype" w:hAnsi="Palatino Linotype" w:cs="Palatino Linotype"/>
          <w:color w:val="000000" w:themeColor="text1"/>
        </w:rPr>
        <w:t xml:space="preserve">- </w:t>
      </w:r>
      <w:r w:rsidR="003C7853" w:rsidRPr="00790F05">
        <w:rPr>
          <w:rFonts w:ascii="Palatino Linotype" w:eastAsia="Palatino Linotype" w:hAnsi="Palatino Linotype" w:cs="Palatino Linotype"/>
          <w:color w:val="000000" w:themeColor="text1"/>
        </w:rPr>
        <w:t>A</w:t>
      </w:r>
      <w:r w:rsidR="003C7853" w:rsidRPr="00790F05">
        <w:rPr>
          <w:rFonts w:ascii="Palatino Linotype" w:eastAsia="Palatino Linotype" w:hAnsi="Palatino Linotype" w:cs="Palatino Linotype"/>
          <w:color w:val="000000" w:themeColor="text1"/>
          <w:lang w:val="tr-TR"/>
        </w:rPr>
        <w:t>dli Sicil Yönetmeli</w:t>
      </w:r>
      <w:r w:rsidR="00E80969">
        <w:rPr>
          <w:rFonts w:ascii="Palatino Linotype" w:eastAsia="Palatino Linotype" w:hAnsi="Palatino Linotype" w:cs="Palatino Linotype"/>
          <w:color w:val="000000" w:themeColor="text1"/>
          <w:lang w:val="tr-TR"/>
        </w:rPr>
        <w:t>ğ</w:t>
      </w:r>
      <w:r w:rsidR="003C7853" w:rsidRPr="00790F05">
        <w:rPr>
          <w:rFonts w:ascii="Palatino Linotype" w:eastAsia="Palatino Linotype" w:hAnsi="Palatino Linotype" w:cs="Palatino Linotype"/>
          <w:color w:val="000000" w:themeColor="text1"/>
          <w:lang w:val="tr-TR"/>
        </w:rPr>
        <w:t>inin 3. ve 13/3. maddesi gere</w:t>
      </w:r>
      <w:r w:rsidR="00E80969">
        <w:rPr>
          <w:rFonts w:ascii="Palatino Linotype" w:eastAsia="Palatino Linotype" w:hAnsi="Palatino Linotype" w:cs="Palatino Linotype"/>
          <w:color w:val="000000" w:themeColor="text1"/>
          <w:lang w:val="tr-TR"/>
        </w:rPr>
        <w:t>ğ</w:t>
      </w:r>
      <w:r w:rsidR="003C7853" w:rsidRPr="00790F05">
        <w:rPr>
          <w:rFonts w:ascii="Palatino Linotype" w:eastAsia="Palatino Linotype" w:hAnsi="Palatino Linotype" w:cs="Palatino Linotype"/>
          <w:color w:val="000000" w:themeColor="text1"/>
          <w:lang w:val="tr-TR"/>
        </w:rPr>
        <w:t xml:space="preserve">ince tali karar fişi </w:t>
      </w:r>
      <w:r w:rsidR="003C7853" w:rsidRPr="00790F05">
        <w:rPr>
          <w:rFonts w:ascii="Palatino Linotype" w:eastAsia="Palatino Linotype" w:hAnsi="Palatino Linotype" w:cs="Palatino Linotype"/>
          <w:b/>
          <w:bCs/>
          <w:color w:val="000000" w:themeColor="text1"/>
          <w:lang w:val="tr-TR"/>
        </w:rPr>
        <w:t>DÜZENLENMESİNE,</w:t>
      </w:r>
      <w:r w:rsidR="003C7853" w:rsidRPr="00790F05">
        <w:rPr>
          <w:rFonts w:ascii="Palatino Linotype" w:eastAsia="Palatino Linotype" w:hAnsi="Palatino Linotype" w:cs="Palatino Linotype"/>
          <w:color w:val="000000" w:themeColor="text1"/>
          <w:lang w:val="tr-TR"/>
        </w:rPr>
        <w:t xml:space="preserve"> </w:t>
      </w:r>
      <w:r w:rsidR="003C7853" w:rsidRPr="00790F05">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3C7853" w:rsidRPr="00790F05">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E80969">
        <w:rPr>
          <w:rFonts w:ascii="Palatino Linotype" w:eastAsia="Palatino Linotype" w:hAnsi="Palatino Linotype" w:cs="Palatino Linotype"/>
          <w:color w:val="000000" w:themeColor="text1"/>
          <w:lang w:val="tr-TR"/>
        </w:rPr>
        <w:t>ğ</w:t>
      </w:r>
      <w:r w:rsidR="003C7853" w:rsidRPr="00790F05">
        <w:rPr>
          <w:rFonts w:ascii="Palatino Linotype" w:eastAsia="Palatino Linotype" w:hAnsi="Palatino Linotype" w:cs="Palatino Linotype"/>
          <w:color w:val="000000" w:themeColor="text1"/>
          <w:lang w:val="tr-TR"/>
        </w:rPr>
        <w:t xml:space="preserve">üne </w:t>
      </w:r>
      <w:r w:rsidR="003C7853" w:rsidRPr="00790F05">
        <w:rPr>
          <w:rFonts w:ascii="Palatino Linotype" w:eastAsia="Palatino Linotype" w:hAnsi="Palatino Linotype" w:cs="Palatino Linotype"/>
          <w:b/>
          <w:bCs/>
          <w:color w:val="000000" w:themeColor="text1"/>
          <w:lang w:val="tr-TR"/>
        </w:rPr>
        <w:t xml:space="preserve">GÖNDERİLMESİNE,                                                                       </w:t>
      </w:r>
    </w:p>
    <w:p w14:paraId="53521E36" w14:textId="04DB0FC4" w:rsidR="003C7853" w:rsidRPr="00790F05" w:rsidRDefault="00CF01D1" w:rsidP="00CF01D1">
      <w:pPr>
        <w:tabs>
          <w:tab w:val="left" w:pos="851"/>
        </w:tabs>
        <w:spacing w:line="23" w:lineRule="atLeast"/>
        <w:ind w:left="3969"/>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        -İ</w:t>
      </w:r>
      <w:r w:rsidR="003C7853" w:rsidRPr="00790F05">
        <w:rPr>
          <w:rFonts w:ascii="Palatino Linotype" w:eastAsia="Palatino Linotype" w:hAnsi="Palatino Linotype" w:cs="Palatino Linotype"/>
          <w:color w:val="000000" w:themeColor="text1"/>
          <w:lang w:val="tr-TR"/>
        </w:rPr>
        <w:t>nfaz evraklar</w:t>
      </w:r>
      <w:r w:rsidR="00E80969">
        <w:rPr>
          <w:rFonts w:ascii="Palatino Linotype" w:eastAsia="Palatino Linotype" w:hAnsi="Palatino Linotype" w:cs="Palatino Linotype"/>
          <w:color w:val="000000" w:themeColor="text1"/>
          <w:lang w:val="tr-TR"/>
        </w:rPr>
        <w:t>ı</w:t>
      </w:r>
      <w:r w:rsidR="003C7853" w:rsidRPr="00790F05">
        <w:rPr>
          <w:rFonts w:ascii="Palatino Linotype" w:eastAsia="Palatino Linotype" w:hAnsi="Palatino Linotype" w:cs="Palatino Linotype"/>
          <w:color w:val="000000" w:themeColor="text1"/>
          <w:lang w:val="tr-TR"/>
        </w:rPr>
        <w:t>n</w:t>
      </w:r>
      <w:proofErr w:type="spellStart"/>
      <w:r w:rsidR="003C7853" w:rsidRPr="00790F05">
        <w:rPr>
          <w:rFonts w:ascii="Palatino Linotype" w:eastAsia="Palatino Linotype" w:hAnsi="Palatino Linotype" w:cs="Palatino Linotype"/>
          <w:color w:val="000000" w:themeColor="text1"/>
        </w:rPr>
        <w:t>ın</w:t>
      </w:r>
      <w:proofErr w:type="spellEnd"/>
      <w:r w:rsidR="003C7853" w:rsidRPr="00790F05">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003C7853" w:rsidRPr="00790F05">
        <w:rPr>
          <w:rFonts w:ascii="Palatino Linotype" w:eastAsia="Palatino Linotype" w:hAnsi="Palatino Linotype" w:cs="Palatino Linotype"/>
          <w:b/>
          <w:bCs/>
          <w:color w:val="000000" w:themeColor="text1"/>
          <w:lang w:val="tr-TR"/>
        </w:rPr>
        <w:t>MÜZEKKERE YAZILMASINA,</w:t>
      </w:r>
    </w:p>
    <w:bookmarkEnd w:id="0"/>
    <w:bookmarkEnd w:id="1"/>
    <w:p w14:paraId="45D92235" w14:textId="3B94B6DC" w:rsidR="00CF01D1" w:rsidRPr="00790F05" w:rsidRDefault="00C93400" w:rsidP="00CF01D1">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                                                                        - İ</w:t>
      </w:r>
      <w:r w:rsidR="00413A39" w:rsidRPr="00790F05">
        <w:rPr>
          <w:rFonts w:ascii="Palatino Linotype" w:eastAsia="Palatino Linotype" w:hAnsi="Palatino Linotype" w:cs="Palatino Linotype"/>
          <w:color w:val="000000" w:themeColor="text1"/>
          <w:lang w:val="tr-TR"/>
        </w:rPr>
        <w:t>nfaz evraklar</w:t>
      </w:r>
      <w:r w:rsidR="00E80969">
        <w:rPr>
          <w:rFonts w:ascii="Palatino Linotype" w:eastAsia="Palatino Linotype" w:hAnsi="Palatino Linotype" w:cs="Palatino Linotype"/>
          <w:color w:val="000000" w:themeColor="text1"/>
          <w:lang w:val="tr-TR"/>
        </w:rPr>
        <w:t>ı</w:t>
      </w:r>
      <w:r w:rsidR="00413A39" w:rsidRPr="00790F05">
        <w:rPr>
          <w:rFonts w:ascii="Palatino Linotype" w:eastAsia="Palatino Linotype" w:hAnsi="Palatino Linotype" w:cs="Palatino Linotype"/>
          <w:color w:val="000000" w:themeColor="text1"/>
          <w:lang w:val="tr-TR"/>
        </w:rPr>
        <w:t>n</w:t>
      </w:r>
      <w:r w:rsidR="00E80969">
        <w:rPr>
          <w:rFonts w:ascii="Palatino Linotype" w:eastAsia="Palatino Linotype" w:hAnsi="Palatino Linotype" w:cs="Palatino Linotype"/>
          <w:color w:val="000000" w:themeColor="text1"/>
          <w:lang w:val="tr-TR"/>
        </w:rPr>
        <w:t>ı</w:t>
      </w:r>
      <w:r w:rsidR="00413A39" w:rsidRPr="00790F05">
        <w:rPr>
          <w:rFonts w:ascii="Palatino Linotype" w:eastAsia="Palatino Linotype" w:hAnsi="Palatino Linotype" w:cs="Palatino Linotype"/>
          <w:color w:val="000000" w:themeColor="text1"/>
          <w:lang w:val="tr-TR"/>
        </w:rPr>
        <w:t>n i</w:t>
      </w:r>
      <w:r w:rsidR="00E80969">
        <w:rPr>
          <w:rFonts w:ascii="Palatino Linotype" w:eastAsia="Palatino Linotype" w:hAnsi="Palatino Linotype" w:cs="Palatino Linotype"/>
          <w:color w:val="000000" w:themeColor="text1"/>
          <w:lang w:val="tr-TR"/>
        </w:rPr>
        <w:t>ş</w:t>
      </w:r>
      <w:r w:rsidR="00413A39" w:rsidRPr="00790F05">
        <w:rPr>
          <w:rFonts w:ascii="Palatino Linotype" w:eastAsia="Palatino Linotype" w:hAnsi="Palatino Linotype" w:cs="Palatino Linotype"/>
          <w:color w:val="000000" w:themeColor="text1"/>
          <w:lang w:val="tr-TR"/>
        </w:rPr>
        <w:t>lemsiz olarak mahkem</w:t>
      </w:r>
      <w:r w:rsidRPr="00790F05">
        <w:rPr>
          <w:rFonts w:ascii="Palatino Linotype" w:eastAsia="Palatino Linotype" w:hAnsi="Palatino Linotype" w:cs="Palatino Linotype"/>
          <w:color w:val="000000" w:themeColor="text1"/>
          <w:lang w:val="tr-TR"/>
        </w:rPr>
        <w:t>enize</w:t>
      </w:r>
      <w:r w:rsidR="00413A39" w:rsidRPr="00790F05">
        <w:rPr>
          <w:rFonts w:ascii="Palatino Linotype" w:eastAsia="Palatino Linotype" w:hAnsi="Palatino Linotype" w:cs="Palatino Linotype"/>
          <w:color w:val="000000" w:themeColor="text1"/>
          <w:lang w:val="tr-TR"/>
        </w:rPr>
        <w:t xml:space="preserve"> </w:t>
      </w:r>
    </w:p>
    <w:p w14:paraId="00000009" w14:textId="42D1708C" w:rsidR="009E0554" w:rsidRPr="00790F05" w:rsidRDefault="00CF01D1" w:rsidP="00CF01D1">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                                                                        </w:t>
      </w:r>
      <w:proofErr w:type="gramStart"/>
      <w:r w:rsidR="00E51CE3" w:rsidRPr="00790F05">
        <w:rPr>
          <w:rFonts w:ascii="Palatino Linotype" w:eastAsia="Palatino Linotype" w:hAnsi="Palatino Linotype" w:cs="Palatino Linotype"/>
          <w:color w:val="000000" w:themeColor="text1"/>
        </w:rPr>
        <w:t>karar</w:t>
      </w:r>
      <w:proofErr w:type="gramEnd"/>
      <w:r w:rsidR="00E51CE3" w:rsidRPr="00790F05">
        <w:rPr>
          <w:rFonts w:ascii="Palatino Linotype" w:eastAsia="Palatino Linotype" w:hAnsi="Palatino Linotype" w:cs="Palatino Linotype"/>
          <w:color w:val="000000" w:themeColor="text1"/>
        </w:rPr>
        <w:t xml:space="preserve"> verilmesi istemine ilişkindir.</w:t>
      </w:r>
    </w:p>
    <w:p w14:paraId="0000000C" w14:textId="766DC627" w:rsidR="009E0554" w:rsidRPr="00790F05" w:rsidRDefault="00000000" w:rsidP="00790F05">
      <w:pPr>
        <w:tabs>
          <w:tab w:val="left" w:pos="709"/>
          <w:tab w:val="left" w:pos="851"/>
          <w:tab w:val="left" w:pos="3870"/>
        </w:tabs>
        <w:spacing w:line="23" w:lineRule="atLeast"/>
        <w:ind w:left="3960" w:hanging="396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b/>
          <w:color w:val="000000" w:themeColor="text1"/>
          <w:u w:val="single"/>
        </w:rPr>
        <w:t xml:space="preserve">Dayanılan Hukuki Kurallar             </w:t>
      </w:r>
      <w:proofErr w:type="gramStart"/>
      <w:r w:rsidRPr="00790F05">
        <w:rPr>
          <w:rFonts w:ascii="Palatino Linotype" w:eastAsia="Palatino Linotype" w:hAnsi="Palatino Linotype" w:cs="Palatino Linotype"/>
          <w:b/>
          <w:color w:val="000000" w:themeColor="text1"/>
          <w:u w:val="single"/>
        </w:rPr>
        <w:t xml:space="preserve">  </w:t>
      </w:r>
      <w:r w:rsidRPr="00790F05">
        <w:rPr>
          <w:rFonts w:ascii="Palatino Linotype" w:eastAsia="Palatino Linotype" w:hAnsi="Palatino Linotype" w:cs="Palatino Linotype"/>
          <w:b/>
          <w:bCs/>
          <w:color w:val="000000" w:themeColor="text1"/>
          <w:u w:val="single"/>
        </w:rPr>
        <w:t>:</w:t>
      </w:r>
      <w:proofErr w:type="gramEnd"/>
      <w:r w:rsidRPr="00790F05">
        <w:rPr>
          <w:rFonts w:ascii="Palatino Linotype" w:eastAsia="Palatino Linotype" w:hAnsi="Palatino Linotype" w:cs="Palatino Linotype"/>
          <w:color w:val="000000" w:themeColor="text1"/>
        </w:rPr>
        <w:t xml:space="preserve">    CMK’nın</w:t>
      </w:r>
      <w:r w:rsidRPr="00790F05">
        <w:rPr>
          <w:rFonts w:ascii="Palatino Linotype" w:eastAsia="Palatino Linotype" w:hAnsi="Palatino Linotype" w:cs="Palatino Linotype"/>
          <w:color w:val="000000" w:themeColor="text1"/>
          <w:highlight w:val="yellow"/>
        </w:rPr>
        <w:t xml:space="preserve"> 262//1 (eş veya vasi başvuracaksa bu madde yazılmalı, şahsi başvuru yapılacaksa çıkarılmalı)</w:t>
      </w:r>
      <w:r w:rsidRPr="00790F05">
        <w:rPr>
          <w:rFonts w:ascii="Palatino Linotype" w:eastAsia="Palatino Linotype" w:hAnsi="Palatino Linotype" w:cs="Palatino Linotype"/>
          <w:color w:val="000000" w:themeColor="text1"/>
        </w:rPr>
        <w:t xml:space="preserve"> 311/1-f </w:t>
      </w:r>
      <w:r w:rsidRPr="00790F05">
        <w:rPr>
          <w:rFonts w:ascii="Palatino Linotype" w:eastAsia="Palatino Linotype" w:hAnsi="Palatino Linotype" w:cs="Palatino Linotype"/>
          <w:color w:val="000000" w:themeColor="text1"/>
        </w:rPr>
        <w:lastRenderedPageBreak/>
        <w:t>maddesi</w:t>
      </w:r>
      <w:r w:rsidR="00E51CE3" w:rsidRPr="00790F05">
        <w:rPr>
          <w:rFonts w:ascii="Palatino Linotype" w:eastAsia="Palatino Linotype" w:hAnsi="Palatino Linotype" w:cs="Palatino Linotype"/>
          <w:color w:val="000000" w:themeColor="text1"/>
        </w:rPr>
        <w:t>,</w:t>
      </w:r>
      <w:r w:rsidRPr="00790F05">
        <w:rPr>
          <w:rFonts w:ascii="Palatino Linotype" w:eastAsia="Palatino Linotype" w:hAnsi="Palatino Linotype" w:cs="Palatino Linotype"/>
          <w:color w:val="000000" w:themeColor="text1"/>
        </w:rPr>
        <w:t xml:space="preserve"> </w:t>
      </w:r>
      <w:proofErr w:type="spellStart"/>
      <w:r w:rsidRPr="00790F05">
        <w:rPr>
          <w:rFonts w:ascii="Palatino Linotype" w:eastAsia="Palatino Linotype" w:hAnsi="Palatino Linotype" w:cs="Palatino Linotype"/>
          <w:color w:val="000000" w:themeColor="text1"/>
        </w:rPr>
        <w:t>AY’n</w:t>
      </w:r>
      <w:r w:rsidR="00E51CE3" w:rsidRPr="00790F05">
        <w:rPr>
          <w:rFonts w:ascii="Palatino Linotype" w:eastAsia="Palatino Linotype" w:hAnsi="Palatino Linotype" w:cs="Palatino Linotype"/>
          <w:color w:val="000000" w:themeColor="text1"/>
        </w:rPr>
        <w:t>i</w:t>
      </w:r>
      <w:r w:rsidRPr="00790F05">
        <w:rPr>
          <w:rFonts w:ascii="Palatino Linotype" w:eastAsia="Palatino Linotype" w:hAnsi="Palatino Linotype" w:cs="Palatino Linotype"/>
          <w:color w:val="000000" w:themeColor="text1"/>
        </w:rPr>
        <w:t>n</w:t>
      </w:r>
      <w:proofErr w:type="spellEnd"/>
      <w:r w:rsidRPr="00790F05">
        <w:rPr>
          <w:rFonts w:ascii="Palatino Linotype" w:eastAsia="Palatino Linotype" w:hAnsi="Palatino Linotype" w:cs="Palatino Linotype"/>
          <w:color w:val="000000" w:themeColor="text1"/>
        </w:rPr>
        <w:t xml:space="preserve"> 90. maddesi</w:t>
      </w:r>
      <w:r w:rsidR="00E51CE3" w:rsidRPr="00790F05">
        <w:rPr>
          <w:rFonts w:ascii="Palatino Linotype" w:eastAsia="Palatino Linotype" w:hAnsi="Palatino Linotype" w:cs="Palatino Linotype"/>
          <w:color w:val="000000" w:themeColor="text1"/>
        </w:rPr>
        <w:t xml:space="preserve"> ve</w:t>
      </w:r>
      <w:r w:rsidRPr="00790F05">
        <w:rPr>
          <w:rFonts w:ascii="Palatino Linotype" w:eastAsia="Palatino Linotype" w:hAnsi="Palatino Linotype" w:cs="Palatino Linotype"/>
          <w:color w:val="000000" w:themeColor="text1"/>
        </w:rPr>
        <w:t xml:space="preserve"> AİHS’in 6</w:t>
      </w:r>
      <w:r w:rsidR="00E51CE3" w:rsidRPr="00790F05">
        <w:rPr>
          <w:rFonts w:ascii="Palatino Linotype" w:eastAsia="Palatino Linotype" w:hAnsi="Palatino Linotype" w:cs="Palatino Linotype"/>
          <w:color w:val="000000" w:themeColor="text1"/>
        </w:rPr>
        <w:t>.</w:t>
      </w:r>
      <w:r w:rsidRPr="00790F05">
        <w:rPr>
          <w:rFonts w:ascii="Palatino Linotype" w:eastAsia="Palatino Linotype" w:hAnsi="Palatino Linotype" w:cs="Palatino Linotype"/>
          <w:color w:val="000000" w:themeColor="text1"/>
        </w:rPr>
        <w:t>, 7</w:t>
      </w:r>
      <w:r w:rsidR="00E51CE3" w:rsidRPr="00790F05">
        <w:rPr>
          <w:rFonts w:ascii="Palatino Linotype" w:eastAsia="Palatino Linotype" w:hAnsi="Palatino Linotype" w:cs="Palatino Linotype"/>
          <w:color w:val="000000" w:themeColor="text1"/>
        </w:rPr>
        <w:t>.</w:t>
      </w:r>
      <w:r w:rsidRPr="00790F05">
        <w:rPr>
          <w:rFonts w:ascii="Palatino Linotype" w:eastAsia="Palatino Linotype" w:hAnsi="Palatino Linotype" w:cs="Palatino Linotype"/>
          <w:color w:val="000000" w:themeColor="text1"/>
        </w:rPr>
        <w:t xml:space="preserve"> ve 46. </w:t>
      </w:r>
      <w:r w:rsidR="00E51CE3" w:rsidRPr="00790F05">
        <w:rPr>
          <w:rFonts w:ascii="Palatino Linotype" w:eastAsia="Palatino Linotype" w:hAnsi="Palatino Linotype" w:cs="Palatino Linotype"/>
          <w:color w:val="000000" w:themeColor="text1"/>
        </w:rPr>
        <w:t>m</w:t>
      </w:r>
      <w:r w:rsidRPr="00790F05">
        <w:rPr>
          <w:rFonts w:ascii="Palatino Linotype" w:eastAsia="Palatino Linotype" w:hAnsi="Palatino Linotype" w:cs="Palatino Linotype"/>
          <w:color w:val="000000" w:themeColor="text1"/>
        </w:rPr>
        <w:t>addeleri.</w:t>
      </w:r>
    </w:p>
    <w:p w14:paraId="0000000D" w14:textId="578FD331" w:rsidR="009E0554" w:rsidRPr="00790F05" w:rsidRDefault="00000000" w:rsidP="00B763D9">
      <w:pPr>
        <w:tabs>
          <w:tab w:val="left" w:pos="709"/>
          <w:tab w:val="left" w:pos="851"/>
          <w:tab w:val="left" w:pos="3870"/>
        </w:tabs>
        <w:spacing w:line="23" w:lineRule="atLeast"/>
        <w:ind w:left="3960" w:hanging="3960"/>
        <w:jc w:val="center"/>
        <w:rPr>
          <w:rFonts w:ascii="Palatino Linotype" w:eastAsia="Palatino Linotype" w:hAnsi="Palatino Linotype" w:cs="Palatino Linotype"/>
          <w:b/>
          <w:color w:val="000000" w:themeColor="text1"/>
          <w:u w:val="single"/>
        </w:rPr>
      </w:pPr>
      <w:r w:rsidRPr="00790F05">
        <w:rPr>
          <w:rFonts w:ascii="Palatino Linotype" w:eastAsia="Palatino Linotype" w:hAnsi="Palatino Linotype" w:cs="Palatino Linotype"/>
          <w:b/>
          <w:color w:val="000000" w:themeColor="text1"/>
          <w:u w:val="single"/>
        </w:rPr>
        <w:t>AÇIKLAMALAR</w:t>
      </w:r>
    </w:p>
    <w:p w14:paraId="0000000E" w14:textId="36753761" w:rsidR="009E0554" w:rsidRPr="00790F05" w:rsidRDefault="00000000" w:rsidP="00B763D9">
      <w:pPr>
        <w:tabs>
          <w:tab w:val="left" w:pos="3870"/>
        </w:tabs>
        <w:spacing w:line="23" w:lineRule="atLeast"/>
        <w:ind w:left="709" w:hanging="425"/>
        <w:jc w:val="both"/>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 xml:space="preserve">I. </w:t>
      </w:r>
      <w:r w:rsidR="006A41BF" w:rsidRPr="00790F05">
        <w:rPr>
          <w:rFonts w:ascii="Palatino Linotype" w:eastAsia="Palatino Linotype" w:hAnsi="Palatino Linotype" w:cs="Palatino Linotype"/>
          <w:b/>
          <w:color w:val="000000" w:themeColor="text1"/>
          <w:highlight w:val="yellow"/>
        </w:rPr>
        <w:t xml:space="preserve">HAKKIMDA VERİLEN/ EŞİM HAKKINDA VERİLEN/VASİSİ OLDUĞUM ... HAKKINDA VERİLEN/MÜVEKKİL HAKKINDA VERİLEN </w:t>
      </w:r>
      <w:proofErr w:type="gramStart"/>
      <w:r w:rsidR="006A41BF" w:rsidRPr="00790F05">
        <w:rPr>
          <w:rFonts w:ascii="Palatino Linotype" w:eastAsia="Palatino Linotype" w:hAnsi="Palatino Linotype" w:cs="Palatino Linotype"/>
          <w:b/>
          <w:color w:val="000000" w:themeColor="text1"/>
          <w:highlight w:val="yellow"/>
        </w:rPr>
        <w:t>MAHKUMİYET</w:t>
      </w:r>
      <w:proofErr w:type="gramEnd"/>
      <w:r w:rsidR="006A41BF" w:rsidRPr="00790F05">
        <w:rPr>
          <w:rFonts w:ascii="Palatino Linotype" w:eastAsia="Palatino Linotype" w:hAnsi="Palatino Linotype" w:cs="Palatino Linotype"/>
          <w:b/>
          <w:color w:val="000000" w:themeColor="text1"/>
          <w:highlight w:val="yellow"/>
        </w:rPr>
        <w:t xml:space="preserve"> GEREKÇESİ</w:t>
      </w:r>
    </w:p>
    <w:p w14:paraId="0000000F" w14:textId="40760D28" w:rsidR="009E0554" w:rsidRPr="00790F05"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 xml:space="preserve">Mahkemenizin </w:t>
      </w:r>
      <w:r w:rsidR="00340C74" w:rsidRPr="00790F05">
        <w:rPr>
          <w:rFonts w:ascii="Palatino Linotype" w:eastAsia="Palatino Linotype" w:hAnsi="Palatino Linotype" w:cs="Palatino Linotype"/>
          <w:color w:val="000000" w:themeColor="text1"/>
          <w:highlight w:val="yellow"/>
        </w:rPr>
        <w:t xml:space="preserve">... </w:t>
      </w:r>
      <w:proofErr w:type="gramStart"/>
      <w:r w:rsidR="00340C74" w:rsidRPr="00790F05">
        <w:rPr>
          <w:rFonts w:ascii="Palatino Linotype" w:eastAsia="Palatino Linotype" w:hAnsi="Palatino Linotype" w:cs="Palatino Linotype"/>
          <w:color w:val="000000" w:themeColor="text1"/>
          <w:highlight w:val="yellow"/>
        </w:rPr>
        <w:t xml:space="preserve">tarihli, </w:t>
      </w:r>
      <w:r w:rsidRPr="00790F05">
        <w:rPr>
          <w:rFonts w:ascii="Palatino Linotype" w:eastAsia="Palatino Linotype" w:hAnsi="Palatino Linotype" w:cs="Palatino Linotype"/>
          <w:color w:val="000000" w:themeColor="text1"/>
          <w:highlight w:val="yellow"/>
        </w:rPr>
        <w:t>….</w:t>
      </w:r>
      <w:proofErr w:type="gramEnd"/>
      <w:r w:rsidRPr="00790F05">
        <w:rPr>
          <w:rFonts w:ascii="Palatino Linotype" w:eastAsia="Palatino Linotype" w:hAnsi="Palatino Linotype" w:cs="Palatino Linotype"/>
          <w:color w:val="000000" w:themeColor="text1"/>
          <w:highlight w:val="yellow"/>
        </w:rPr>
        <w:t>E. ve</w:t>
      </w:r>
      <w:proofErr w:type="gramStart"/>
      <w:r w:rsidRPr="00790F05">
        <w:rPr>
          <w:rFonts w:ascii="Palatino Linotype" w:eastAsia="Palatino Linotype" w:hAnsi="Palatino Linotype" w:cs="Palatino Linotype"/>
          <w:color w:val="000000" w:themeColor="text1"/>
          <w:highlight w:val="yellow"/>
        </w:rPr>
        <w:t xml:space="preserve"> ….</w:t>
      </w:r>
      <w:proofErr w:type="gramEnd"/>
      <w:r w:rsidRPr="00790F05">
        <w:rPr>
          <w:rFonts w:ascii="Palatino Linotype" w:eastAsia="Palatino Linotype" w:hAnsi="Palatino Linotype" w:cs="Palatino Linotype"/>
          <w:color w:val="000000" w:themeColor="text1"/>
          <w:highlight w:val="yellow"/>
        </w:rPr>
        <w:t>K….</w:t>
      </w:r>
      <w:r w:rsidRPr="00790F05">
        <w:rPr>
          <w:rFonts w:ascii="Palatino Linotype" w:eastAsia="Palatino Linotype" w:hAnsi="Palatino Linotype" w:cs="Palatino Linotype"/>
          <w:color w:val="000000" w:themeColor="text1"/>
        </w:rPr>
        <w:t xml:space="preserve"> </w:t>
      </w:r>
      <w:proofErr w:type="gramStart"/>
      <w:r w:rsidRPr="00790F05">
        <w:rPr>
          <w:rFonts w:ascii="Palatino Linotype" w:eastAsia="Palatino Linotype" w:hAnsi="Palatino Linotype" w:cs="Palatino Linotype"/>
          <w:color w:val="000000" w:themeColor="text1"/>
        </w:rPr>
        <w:t>sayılı</w:t>
      </w:r>
      <w:proofErr w:type="gramEnd"/>
      <w:r w:rsidRPr="00790F05">
        <w:rPr>
          <w:rFonts w:ascii="Palatino Linotype" w:eastAsia="Palatino Linotype" w:hAnsi="Palatino Linotype" w:cs="Palatino Linotype"/>
          <w:color w:val="000000" w:themeColor="text1"/>
        </w:rPr>
        <w:t xml:space="preserve"> kararı ile </w:t>
      </w:r>
      <w:r w:rsidR="00340C74" w:rsidRPr="00790F05">
        <w:rPr>
          <w:rFonts w:ascii="Palatino Linotype" w:eastAsia="Palatino Linotype" w:hAnsi="Palatino Linotype" w:cs="Palatino Linotype"/>
          <w:color w:val="000000" w:themeColor="text1"/>
        </w:rPr>
        <w:t>TCK’nın 314/2. maddesi uyarınca</w:t>
      </w:r>
      <w:r w:rsidRPr="00790F05">
        <w:rPr>
          <w:rFonts w:ascii="Palatino Linotype" w:eastAsia="Palatino Linotype" w:hAnsi="Palatino Linotype" w:cs="Palatino Linotype"/>
          <w:color w:val="000000" w:themeColor="text1"/>
        </w:rPr>
        <w:t xml:space="preserve"> silahlı terör örgütüne üyelik suçlaması ile …. </w:t>
      </w:r>
      <w:proofErr w:type="gramStart"/>
      <w:r w:rsidRPr="00790F05">
        <w:rPr>
          <w:rFonts w:ascii="Palatino Linotype" w:eastAsia="Palatino Linotype" w:hAnsi="Palatino Linotype" w:cs="Palatino Linotype"/>
          <w:color w:val="000000" w:themeColor="text1"/>
        </w:rPr>
        <w:t>hapis</w:t>
      </w:r>
      <w:proofErr w:type="gramEnd"/>
      <w:r w:rsidRPr="00790F05">
        <w:rPr>
          <w:rFonts w:ascii="Palatino Linotype" w:eastAsia="Palatino Linotype" w:hAnsi="Palatino Linotype" w:cs="Palatino Linotype"/>
          <w:color w:val="000000" w:themeColor="text1"/>
        </w:rPr>
        <w:t xml:space="preserve"> cezasına </w:t>
      </w:r>
      <w:proofErr w:type="gramStart"/>
      <w:r w:rsidRPr="00790F05">
        <w:rPr>
          <w:rFonts w:ascii="Palatino Linotype" w:eastAsia="Palatino Linotype" w:hAnsi="Palatino Linotype" w:cs="Palatino Linotype"/>
          <w:color w:val="000000" w:themeColor="text1"/>
          <w:highlight w:val="yellow"/>
        </w:rPr>
        <w:t>mahkum</w:t>
      </w:r>
      <w:proofErr w:type="gramEnd"/>
      <w:r w:rsidRPr="00790F05">
        <w:rPr>
          <w:rFonts w:ascii="Palatino Linotype" w:eastAsia="Palatino Linotype" w:hAnsi="Palatino Linotype" w:cs="Palatino Linotype"/>
          <w:color w:val="000000" w:themeColor="text1"/>
          <w:highlight w:val="yellow"/>
        </w:rPr>
        <w:t xml:space="preserve"> edildim/eşim-vasisi </w:t>
      </w:r>
      <w:proofErr w:type="gramStart"/>
      <w:r w:rsidRPr="00790F05">
        <w:rPr>
          <w:rFonts w:ascii="Palatino Linotype" w:eastAsia="Palatino Linotype" w:hAnsi="Palatino Linotype" w:cs="Palatino Linotype"/>
          <w:color w:val="000000" w:themeColor="text1"/>
          <w:highlight w:val="yellow"/>
        </w:rPr>
        <w:t>olduğum(</w:t>
      </w:r>
      <w:proofErr w:type="gramEnd"/>
      <w:r w:rsidRPr="00790F05">
        <w:rPr>
          <w:rFonts w:ascii="Palatino Linotype" w:eastAsia="Palatino Linotype" w:hAnsi="Palatino Linotype" w:cs="Palatino Linotype"/>
          <w:color w:val="000000" w:themeColor="text1"/>
          <w:highlight w:val="yellow"/>
        </w:rPr>
        <w:t xml:space="preserve">kişi ismi </w:t>
      </w:r>
      <w:proofErr w:type="gramStart"/>
      <w:r w:rsidRPr="00790F05">
        <w:rPr>
          <w:rFonts w:ascii="Palatino Linotype" w:eastAsia="Palatino Linotype" w:hAnsi="Palatino Linotype" w:cs="Palatino Linotype"/>
          <w:color w:val="000000" w:themeColor="text1"/>
          <w:highlight w:val="yellow"/>
        </w:rPr>
        <w:t>yazılacak)/</w:t>
      </w:r>
      <w:proofErr w:type="gramEnd"/>
      <w:r w:rsidRPr="00790F05">
        <w:rPr>
          <w:rFonts w:ascii="Palatino Linotype" w:eastAsia="Palatino Linotype" w:hAnsi="Palatino Linotype" w:cs="Palatino Linotype"/>
          <w:color w:val="000000" w:themeColor="text1"/>
          <w:highlight w:val="yellow"/>
        </w:rPr>
        <w:t xml:space="preserve">müvekkil </w:t>
      </w:r>
      <w:proofErr w:type="gramStart"/>
      <w:r w:rsidRPr="00790F05">
        <w:rPr>
          <w:rFonts w:ascii="Palatino Linotype" w:eastAsia="Palatino Linotype" w:hAnsi="Palatino Linotype" w:cs="Palatino Linotype"/>
          <w:color w:val="000000" w:themeColor="text1"/>
          <w:highlight w:val="yellow"/>
        </w:rPr>
        <w:t>mahkum</w:t>
      </w:r>
      <w:proofErr w:type="gramEnd"/>
      <w:r w:rsidRPr="00790F05">
        <w:rPr>
          <w:rFonts w:ascii="Palatino Linotype" w:eastAsia="Palatino Linotype" w:hAnsi="Palatino Linotype" w:cs="Palatino Linotype"/>
          <w:color w:val="000000" w:themeColor="text1"/>
          <w:highlight w:val="yellow"/>
        </w:rPr>
        <w:t xml:space="preserve"> edildi</w:t>
      </w:r>
      <w:r w:rsidRPr="00790F05">
        <w:rPr>
          <w:rFonts w:ascii="Palatino Linotype" w:eastAsia="Palatino Linotype" w:hAnsi="Palatino Linotype" w:cs="Palatino Linotype"/>
          <w:color w:val="000000" w:themeColor="text1"/>
        </w:rPr>
        <w:t xml:space="preserve">. </w:t>
      </w:r>
      <w:r w:rsidRPr="00790F05">
        <w:rPr>
          <w:rFonts w:ascii="Palatino Linotype" w:eastAsia="Palatino Linotype" w:hAnsi="Palatino Linotype" w:cs="Palatino Linotype"/>
          <w:color w:val="000000" w:themeColor="text1"/>
          <w:highlight w:val="yellow"/>
        </w:rPr>
        <w:t>Hakkımdaki/hakkındaki</w:t>
      </w:r>
      <w:r w:rsidRPr="00790F05">
        <w:rPr>
          <w:rFonts w:ascii="Palatino Linotype" w:eastAsia="Palatino Linotype" w:hAnsi="Palatino Linotype" w:cs="Palatino Linotype"/>
          <w:color w:val="000000" w:themeColor="text1"/>
        </w:rPr>
        <w:t xml:space="preserve"> karar …tarihinde kesinleşmiştir.</w:t>
      </w:r>
    </w:p>
    <w:p w14:paraId="00000010" w14:textId="77777777" w:rsidR="009E0554" w:rsidRPr="00790F05"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highlight w:val="yellow"/>
        </w:rPr>
        <w:t>Hakkımdaki/hakkındaki</w:t>
      </w:r>
      <w:r w:rsidRPr="00790F05">
        <w:rPr>
          <w:rFonts w:ascii="Palatino Linotype" w:eastAsia="Palatino Linotype" w:hAnsi="Palatino Linotype" w:cs="Palatino Linotype"/>
          <w:color w:val="000000" w:themeColor="text1"/>
        </w:rPr>
        <w:t xml:space="preserve"> mahkumiyet gerekçesi; sırasıyla </w:t>
      </w:r>
      <w:r w:rsidRPr="00790F05">
        <w:rPr>
          <w:rFonts w:ascii="Palatino Linotype" w:eastAsia="Palatino Linotype" w:hAnsi="Palatino Linotype" w:cs="Palatino Linotype"/>
          <w:color w:val="000000" w:themeColor="text1"/>
          <w:highlight w:val="yellow"/>
        </w:rPr>
        <w:t>(herkes kendi mahkumiyet gerekçesini yazmalı)</w:t>
      </w:r>
      <w:r w:rsidRPr="00790F05">
        <w:rPr>
          <w:rFonts w:ascii="Palatino Linotype" w:eastAsia="Palatino Linotype" w:hAnsi="Palatino Linotype" w:cs="Palatino Linotype"/>
          <w:color w:val="000000" w:themeColor="text1"/>
        </w:rPr>
        <w:t xml:space="preserve"> </w:t>
      </w:r>
      <w:r w:rsidRPr="00790F05">
        <w:rPr>
          <w:rFonts w:ascii="Palatino Linotype" w:eastAsia="Palatino Linotype" w:hAnsi="Palatino Linotype" w:cs="Palatino Linotype"/>
          <w:color w:val="000000" w:themeColor="text1"/>
          <w:highlight w:val="yellow"/>
        </w:rPr>
        <w:t xml:space="preserve">ByLock uygulamasını indirmek, Bank Asya’da hesap açmak, …derneğine ve …sendikasına üye olmak, …x okulunda okumak, …x gazetesi ve dergisine abone olmak, …x aboneliğini sonlandırmak, … 1 Amerikan Doları bulundurmak, …x derneğine yardım etmek, …x tanığın beyanı ile cemaat sohbetlerine katılmak, çocuğunu …x okulunda okutturmak, örgüte üyelikten hakkında soruşturma açılmış olan </w:t>
      </w:r>
      <w:proofErr w:type="spellStart"/>
      <w:r w:rsidRPr="00790F05">
        <w:rPr>
          <w:rFonts w:ascii="Palatino Linotype" w:eastAsia="Palatino Linotype" w:hAnsi="Palatino Linotype" w:cs="Palatino Linotype"/>
          <w:color w:val="000000" w:themeColor="text1"/>
          <w:highlight w:val="yellow"/>
        </w:rPr>
        <w:t>xyz</w:t>
      </w:r>
      <w:proofErr w:type="spellEnd"/>
      <w:r w:rsidRPr="00790F05">
        <w:rPr>
          <w:rFonts w:ascii="Palatino Linotype" w:eastAsia="Palatino Linotype" w:hAnsi="Palatino Linotype" w:cs="Palatino Linotype"/>
          <w:color w:val="000000" w:themeColor="text1"/>
          <w:highlight w:val="yellow"/>
        </w:rPr>
        <w:t xml:space="preserve"> kişiler ile görüşmek, seçimlerde …x partisine veya (HSK ve </w:t>
      </w:r>
      <w:proofErr w:type="spellStart"/>
      <w:r w:rsidRPr="00790F05">
        <w:rPr>
          <w:rFonts w:ascii="Palatino Linotype" w:eastAsia="Palatino Linotype" w:hAnsi="Palatino Linotype" w:cs="Palatino Linotype"/>
          <w:color w:val="000000" w:themeColor="text1"/>
          <w:highlight w:val="yellow"/>
        </w:rPr>
        <w:t>vb</w:t>
      </w:r>
      <w:proofErr w:type="spellEnd"/>
      <w:r w:rsidRPr="00790F05">
        <w:rPr>
          <w:rFonts w:ascii="Palatino Linotype" w:eastAsia="Palatino Linotype" w:hAnsi="Palatino Linotype" w:cs="Palatino Linotype"/>
          <w:color w:val="000000" w:themeColor="text1"/>
          <w:highlight w:val="yellow"/>
        </w:rPr>
        <w:t xml:space="preserve"> kurum seçimlerinde) x grubuna destek vermek (</w:t>
      </w:r>
      <w:proofErr w:type="spellStart"/>
      <w:r w:rsidRPr="00790F05">
        <w:rPr>
          <w:rFonts w:ascii="Palatino Linotype" w:eastAsia="Palatino Linotype" w:hAnsi="Palatino Linotype" w:cs="Palatino Linotype"/>
          <w:color w:val="000000" w:themeColor="text1"/>
          <w:highlight w:val="yellow"/>
        </w:rPr>
        <w:t>vb</w:t>
      </w:r>
      <w:proofErr w:type="spellEnd"/>
      <w:r w:rsidRPr="00790F05">
        <w:rPr>
          <w:rFonts w:ascii="Palatino Linotype" w:eastAsia="Palatino Linotype" w:hAnsi="Palatino Linotype" w:cs="Palatino Linotype"/>
          <w:color w:val="000000" w:themeColor="text1"/>
          <w:highlight w:val="yellow"/>
        </w:rPr>
        <w:t>)</w:t>
      </w:r>
      <w:r w:rsidRPr="00790F05">
        <w:rPr>
          <w:rFonts w:ascii="Palatino Linotype" w:eastAsia="Palatino Linotype" w:hAnsi="Palatino Linotype" w:cs="Palatino Linotype"/>
          <w:color w:val="000000" w:themeColor="text1"/>
        </w:rPr>
        <w:t xml:space="preserve"> hususlarına dayandırılmıştır. </w:t>
      </w:r>
    </w:p>
    <w:p w14:paraId="00000011" w14:textId="36076745" w:rsidR="009E0554" w:rsidRPr="00790F05"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 xml:space="preserve">Bununla birlikte AİHM, anılan mahkûmiyet kararına ilişkin olarak, </w:t>
      </w:r>
      <w:r w:rsidRPr="00790F05">
        <w:rPr>
          <w:rFonts w:ascii="Palatino Linotype" w:eastAsia="Palatino Linotype" w:hAnsi="Palatino Linotype" w:cs="Palatino Linotype"/>
          <w:b/>
          <w:bCs/>
          <w:color w:val="000000" w:themeColor="text1"/>
        </w:rPr>
        <w:t>AİHS</w:t>
      </w:r>
      <w:r w:rsidR="00340C74" w:rsidRPr="00790F05">
        <w:rPr>
          <w:rFonts w:ascii="Palatino Linotype" w:eastAsia="Palatino Linotype" w:hAnsi="Palatino Linotype" w:cs="Palatino Linotype"/>
          <w:b/>
          <w:bCs/>
          <w:color w:val="000000" w:themeColor="text1"/>
        </w:rPr>
        <w:t>’in</w:t>
      </w:r>
      <w:r w:rsidRPr="00790F05">
        <w:rPr>
          <w:rFonts w:ascii="Palatino Linotype" w:eastAsia="Palatino Linotype" w:hAnsi="Palatino Linotype" w:cs="Palatino Linotype"/>
          <w:b/>
          <w:bCs/>
          <w:color w:val="000000" w:themeColor="text1"/>
        </w:rPr>
        <w:t xml:space="preserve"> 6. maddesinde güvence altına alınan adil yargılanma hakkı ile 7. maddesinde düzenlenen suç ve cezaların yasallığı ilkesinin ihlal edildiğine karar vermiştir.</w:t>
      </w:r>
      <w:r w:rsidRPr="00790F05">
        <w:rPr>
          <w:rFonts w:ascii="Palatino Linotype" w:eastAsia="Palatino Linotype" w:hAnsi="Palatino Linotype" w:cs="Palatino Linotype"/>
          <w:color w:val="000000" w:themeColor="text1"/>
        </w:rPr>
        <w:t xml:space="preserve"> İşbu dilekçe, </w:t>
      </w:r>
      <w:r w:rsidRPr="00790F05">
        <w:rPr>
          <w:rFonts w:ascii="Palatino Linotype" w:eastAsia="Palatino Linotype" w:hAnsi="Palatino Linotype" w:cs="Palatino Linotype"/>
          <w:b/>
          <w:color w:val="000000" w:themeColor="text1"/>
        </w:rPr>
        <w:t>AİHM’in söz konusu ihlal kararı doğrultusunda yargılamanın yenilenmesi talebine ilişkindir.</w:t>
      </w:r>
    </w:p>
    <w:p w14:paraId="00000012" w14:textId="191EAC4F" w:rsidR="009E0554" w:rsidRPr="00790F05" w:rsidRDefault="00000000" w:rsidP="00B763D9">
      <w:pPr>
        <w:tabs>
          <w:tab w:val="left" w:pos="3870"/>
        </w:tabs>
        <w:spacing w:line="23" w:lineRule="atLeast"/>
        <w:ind w:left="284"/>
        <w:jc w:val="both"/>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 xml:space="preserve">II. </w:t>
      </w:r>
      <w:r w:rsidR="006A41BF" w:rsidRPr="00790F05">
        <w:rPr>
          <w:rFonts w:ascii="Palatino Linotype" w:eastAsia="Palatino Linotype" w:hAnsi="Palatino Linotype" w:cs="Palatino Linotype"/>
          <w:b/>
          <w:color w:val="000000" w:themeColor="text1"/>
        </w:rPr>
        <w:t>YARGILAMANIN YENİLENMESİ TALEBİNİN DAYANDIĞI HUKUKİ KURALLAR</w:t>
      </w:r>
    </w:p>
    <w:p w14:paraId="00000013" w14:textId="77777777" w:rsidR="009E0554" w:rsidRPr="00790F05"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 xml:space="preserve">Hükümlü lehine </w:t>
      </w:r>
      <w:r w:rsidRPr="00790F05">
        <w:rPr>
          <w:rFonts w:ascii="Palatino Linotype" w:eastAsia="Palatino Linotype" w:hAnsi="Palatino Linotype" w:cs="Palatino Linotype"/>
          <w:b/>
          <w:color w:val="000000" w:themeColor="text1"/>
        </w:rPr>
        <w:t>yargılamanın yenilenmesi nedenleri CMK’nın 311. maddesinde</w:t>
      </w:r>
      <w:r w:rsidRPr="00790F05">
        <w:rPr>
          <w:rFonts w:ascii="Palatino Linotype" w:eastAsia="Palatino Linotype" w:hAnsi="Palatino Linotype" w:cs="Palatino Linotype"/>
          <w:color w:val="000000" w:themeColor="text1"/>
        </w:rPr>
        <w:t xml:space="preserve"> düzenlenmiştir. </w:t>
      </w:r>
      <w:r w:rsidRPr="00790F05">
        <w:rPr>
          <w:rFonts w:ascii="Palatino Linotype" w:eastAsia="Palatino Linotype" w:hAnsi="Palatino Linotype" w:cs="Palatino Linotype"/>
          <w:color w:val="000000" w:themeColor="text1"/>
          <w:highlight w:val="yellow"/>
        </w:rPr>
        <w:t>Lehime/eşimin lehine/Müvekkil açısından</w:t>
      </w:r>
      <w:r w:rsidRPr="00790F05">
        <w:rPr>
          <w:rFonts w:ascii="Palatino Linotype" w:eastAsia="Palatino Linotype" w:hAnsi="Palatino Linotype" w:cs="Palatino Linotype"/>
          <w:color w:val="000000" w:themeColor="text1"/>
        </w:rPr>
        <w:t xml:space="preserve"> yargılamanın yenilenmesi dayanağını oluşturacak düzenleme aşağıdaki gibidir: </w:t>
      </w:r>
    </w:p>
    <w:p w14:paraId="00000014" w14:textId="77777777" w:rsidR="009E0554" w:rsidRPr="00790F05" w:rsidRDefault="00000000" w:rsidP="00B763D9">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themeColor="text1"/>
        </w:rPr>
      </w:pPr>
      <w:r w:rsidRPr="00790F05">
        <w:rPr>
          <w:rFonts w:ascii="Palatino Linotype" w:eastAsia="Palatino Linotype" w:hAnsi="Palatino Linotype" w:cs="Palatino Linotype"/>
          <w:b/>
          <w:i/>
          <w:color w:val="000000" w:themeColor="text1"/>
        </w:rPr>
        <w:t>“Madde 311 – (1)</w:t>
      </w:r>
      <w:r w:rsidRPr="00790F05">
        <w:rPr>
          <w:rFonts w:ascii="Palatino Linotype" w:eastAsia="Palatino Linotype" w:hAnsi="Palatino Linotype" w:cs="Palatino Linotype"/>
          <w:i/>
          <w:color w:val="000000" w:themeColor="text1"/>
        </w:rPr>
        <w:t xml:space="preserve"> Kesinleşen bir hükümle sonuçlanmış bir dava, aşağıda yazılı hâllerde hükümlü lehine olarak yargılamanın yenilenmesi yoluyla tekrar görülür: </w:t>
      </w:r>
    </w:p>
    <w:p w14:paraId="7B456B68" w14:textId="357845F8" w:rsidR="00340C74" w:rsidRPr="00790F05" w:rsidRDefault="00340C74" w:rsidP="00B763D9">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themeColor="text1"/>
        </w:rPr>
      </w:pPr>
      <w:r w:rsidRPr="00790F05">
        <w:rPr>
          <w:rFonts w:ascii="Palatino Linotype" w:eastAsia="Palatino Linotype" w:hAnsi="Palatino Linotype" w:cs="Palatino Linotype"/>
          <w:i/>
          <w:color w:val="000000" w:themeColor="text1"/>
        </w:rPr>
        <w:t>...</w:t>
      </w:r>
    </w:p>
    <w:p w14:paraId="00000015" w14:textId="77777777" w:rsidR="009E0554" w:rsidRPr="00790F05" w:rsidRDefault="00000000" w:rsidP="00B763D9">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themeColor="text1"/>
        </w:rPr>
      </w:pPr>
      <w:r w:rsidRPr="00790F05">
        <w:rPr>
          <w:rFonts w:ascii="Palatino Linotype" w:eastAsia="Palatino Linotype" w:hAnsi="Palatino Linotype" w:cs="Palatino Linotype"/>
          <w:b/>
          <w:i/>
          <w:color w:val="000000" w:themeColor="text1"/>
        </w:rPr>
        <w:t>f)</w:t>
      </w:r>
      <w:r w:rsidRPr="00790F05">
        <w:rPr>
          <w:rFonts w:ascii="Palatino Linotype" w:eastAsia="Palatino Linotype" w:hAnsi="Palatino Linotype" w:cs="Palatino Linotype"/>
          <w:i/>
          <w:color w:val="000000" w:themeColor="text1"/>
        </w:rPr>
        <w:t xml:space="preserve">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w:t>
      </w:r>
      <w:r w:rsidRPr="00790F05">
        <w:rPr>
          <w:rFonts w:ascii="Palatino Linotype" w:eastAsia="Palatino Linotype" w:hAnsi="Palatino Linotype" w:cs="Palatino Linotype"/>
          <w:b/>
          <w:i/>
          <w:color w:val="000000" w:themeColor="text1"/>
        </w:rPr>
        <w:t>Bu hâlde yargılamanın yenilenmesi, Avrupa İnsan Hakları Mahkemesi kararının kesinleştiği tarihten itibaren bir yıl içinde istenebilir.”</w:t>
      </w:r>
    </w:p>
    <w:p w14:paraId="6A4835A3" w14:textId="55861415" w:rsidR="00340C74" w:rsidRPr="00790F05" w:rsidRDefault="00000000" w:rsidP="006A41BF">
      <w:pPr>
        <w:pBdr>
          <w:top w:val="nil"/>
          <w:left w:val="nil"/>
          <w:bottom w:val="nil"/>
          <w:right w:val="nil"/>
          <w:between w:val="nil"/>
        </w:pBdr>
        <w:tabs>
          <w:tab w:val="left" w:pos="3870"/>
        </w:tabs>
        <w:spacing w:line="23" w:lineRule="atLeast"/>
        <w:ind w:left="709" w:hanging="425"/>
        <w:jc w:val="both"/>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 xml:space="preserve">III. </w:t>
      </w:r>
      <w:r w:rsidR="006A41BF" w:rsidRPr="00790F05">
        <w:rPr>
          <w:rFonts w:ascii="Palatino Linotype" w:eastAsia="Palatino Linotype" w:hAnsi="Palatino Linotype" w:cs="Palatino Linotype"/>
          <w:b/>
          <w:color w:val="000000" w:themeColor="text1"/>
        </w:rPr>
        <w:t xml:space="preserve">YARGILAMANIN YENİLENMESİ TALEBİNİN NEDENİ VE </w:t>
      </w:r>
      <w:r w:rsidR="004A0AF5" w:rsidRPr="00790F05">
        <w:rPr>
          <w:rFonts w:ascii="Palatino Linotype" w:eastAsia="Palatino Linotype" w:hAnsi="Palatino Linotype" w:cs="Palatino Linotype"/>
          <w:b/>
          <w:color w:val="000000" w:themeColor="text1"/>
        </w:rPr>
        <w:t>DEM</w:t>
      </w:r>
      <w:r w:rsidR="004A0AF5" w:rsidRPr="00790F05">
        <w:rPr>
          <w:rFonts w:ascii="Palatino Linotype" w:eastAsia="Palatino Linotype" w:hAnsi="Palatino Linotype" w:cs="Palatino Linotype"/>
          <w:b/>
          <w:color w:val="000000" w:themeColor="text1"/>
          <w:lang w:val="tr-TR"/>
        </w:rPr>
        <w:t>İRHAN</w:t>
      </w:r>
      <w:r w:rsidR="006A41BF" w:rsidRPr="00790F05">
        <w:rPr>
          <w:rFonts w:ascii="Palatino Linotype" w:eastAsia="Palatino Linotype" w:hAnsi="Palatino Linotype" w:cs="Palatino Linotype"/>
          <w:b/>
          <w:color w:val="000000" w:themeColor="text1"/>
        </w:rPr>
        <w:t xml:space="preserve"> VE DİĞERLERİ KARARI İLE YALÇINKAYA KARARI ARASINDAKİ BAĞLANTI</w:t>
      </w:r>
    </w:p>
    <w:p w14:paraId="3ECB5040" w14:textId="37134DC6" w:rsidR="00F938E7" w:rsidRPr="00790F05" w:rsidRDefault="00F938E7" w:rsidP="00B21384">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22 Temmuz 2025 tarihli </w:t>
      </w:r>
      <w:r w:rsidRPr="00790F05">
        <w:rPr>
          <w:rFonts w:ascii="Palatino Linotype" w:eastAsia="Palatino Linotype" w:hAnsi="Palatino Linotype" w:cs="Palatino Linotype"/>
          <w:b/>
          <w:bCs/>
          <w:i/>
          <w:iCs/>
          <w:color w:val="000000" w:themeColor="text1"/>
          <w:lang w:val="tr-TR"/>
        </w:rPr>
        <w:t>Demirhan ve Diğerleri</w:t>
      </w:r>
      <w:r w:rsidRPr="00790F05">
        <w:rPr>
          <w:rFonts w:ascii="Palatino Linotype" w:eastAsia="Palatino Linotype" w:hAnsi="Palatino Linotype" w:cs="Palatino Linotype"/>
          <w:b/>
          <w:bCs/>
          <w:color w:val="000000" w:themeColor="text1"/>
          <w:lang w:val="tr-TR"/>
        </w:rPr>
        <w:t xml:space="preserve"> kararında</w:t>
      </w:r>
      <w:r w:rsidRPr="00790F05">
        <w:rPr>
          <w:rFonts w:ascii="Palatino Linotype" w:eastAsia="Palatino Linotype" w:hAnsi="Palatino Linotype" w:cs="Palatino Linotype"/>
          <w:color w:val="000000" w:themeColor="text1"/>
          <w:lang w:val="tr-TR"/>
        </w:rPr>
        <w:t xml:space="preserve"> (kesinleşme: 03 Kasım 2025), aralarında </w:t>
      </w:r>
      <w:r w:rsidRPr="00790F05">
        <w:rPr>
          <w:rFonts w:ascii="Palatino Linotype" w:eastAsia="Palatino Linotype" w:hAnsi="Palatino Linotype" w:cs="Palatino Linotype"/>
          <w:color w:val="000000" w:themeColor="text1"/>
          <w:highlight w:val="yellow"/>
          <w:lang w:val="tr-TR"/>
        </w:rPr>
        <w:t>şahsımın/eşimin/müvekkilin</w:t>
      </w:r>
      <w:r w:rsidRPr="00790F05">
        <w:rPr>
          <w:rFonts w:ascii="Palatino Linotype" w:eastAsia="Palatino Linotype" w:hAnsi="Palatino Linotype" w:cs="Palatino Linotype"/>
          <w:color w:val="000000" w:themeColor="text1"/>
          <w:lang w:val="tr-TR"/>
        </w:rPr>
        <w:t xml:space="preserve"> de</w:t>
      </w:r>
      <w:r w:rsidR="006A066A" w:rsidRPr="00790F05">
        <w:rPr>
          <w:rFonts w:ascii="Palatino Linotype" w:eastAsia="Palatino Linotype" w:hAnsi="Palatino Linotype" w:cs="Palatino Linotype"/>
          <w:color w:val="000000" w:themeColor="text1"/>
          <w:lang w:val="tr-TR"/>
        </w:rPr>
        <w:t xml:space="preserve"> </w:t>
      </w:r>
      <w:r w:rsidR="006A066A" w:rsidRPr="00790F05">
        <w:rPr>
          <w:rFonts w:ascii="Palatino Linotype" w:eastAsia="Palatino Linotype" w:hAnsi="Palatino Linotype" w:cs="Palatino Linotype"/>
          <w:b/>
          <w:bCs/>
          <w:color w:val="000000" w:themeColor="text1"/>
          <w:highlight w:val="yellow"/>
          <w:u w:val="single"/>
          <w:lang w:val="tr-TR"/>
        </w:rPr>
        <w:t xml:space="preserve">kararın … sıra </w:t>
      </w:r>
      <w:proofErr w:type="spellStart"/>
      <w:r w:rsidR="006A066A" w:rsidRPr="00790F05">
        <w:rPr>
          <w:rFonts w:ascii="Palatino Linotype" w:eastAsia="Palatino Linotype" w:hAnsi="Palatino Linotype" w:cs="Palatino Linotype"/>
          <w:b/>
          <w:bCs/>
          <w:color w:val="000000" w:themeColor="text1"/>
          <w:highlight w:val="yellow"/>
          <w:u w:val="single"/>
          <w:lang w:val="tr-TR"/>
        </w:rPr>
        <w:t>numarsında</w:t>
      </w:r>
      <w:proofErr w:type="spellEnd"/>
      <w:r w:rsidRPr="00790F05">
        <w:rPr>
          <w:rFonts w:ascii="Palatino Linotype" w:eastAsia="Palatino Linotype" w:hAnsi="Palatino Linotype" w:cs="Palatino Linotype"/>
          <w:color w:val="000000" w:themeColor="text1"/>
          <w:lang w:val="tr-TR"/>
        </w:rPr>
        <w:t xml:space="preserve"> </w:t>
      </w:r>
      <w:r w:rsidR="006A066A" w:rsidRPr="00790F05">
        <w:rPr>
          <w:rFonts w:ascii="Palatino Linotype" w:eastAsia="Palatino Linotype" w:hAnsi="Palatino Linotype" w:cs="Palatino Linotype"/>
          <w:color w:val="000000" w:themeColor="text1"/>
          <w:lang w:val="tr-TR"/>
        </w:rPr>
        <w:t>yer aldığı</w:t>
      </w:r>
      <w:r w:rsidRPr="00790F05">
        <w:rPr>
          <w:rFonts w:ascii="Palatino Linotype" w:eastAsia="Palatino Linotype" w:hAnsi="Palatino Linotype" w:cs="Palatino Linotype"/>
          <w:color w:val="000000" w:themeColor="text1"/>
          <w:lang w:val="tr-TR"/>
        </w:rPr>
        <w:t xml:space="preserve"> 239 başvurucu için AİHS’in 6. ve 7. maddelerinin ihlal edildiğine hükmetmiştir. Mahkeme, bu dosyada </w:t>
      </w:r>
      <w:r w:rsidRPr="00790F05">
        <w:rPr>
          <w:rFonts w:ascii="Palatino Linotype" w:eastAsia="Palatino Linotype" w:hAnsi="Palatino Linotype" w:cs="Palatino Linotype"/>
          <w:i/>
          <w:iCs/>
          <w:color w:val="000000" w:themeColor="text1"/>
          <w:lang w:val="tr-TR"/>
        </w:rPr>
        <w:t>Yüksel Yalçınkaya</w:t>
      </w:r>
      <w:r w:rsidRPr="00790F05">
        <w:rPr>
          <w:rFonts w:ascii="Palatino Linotype" w:eastAsia="Palatino Linotype" w:hAnsi="Palatino Linotype" w:cs="Palatino Linotype"/>
          <w:color w:val="000000" w:themeColor="text1"/>
          <w:lang w:val="tr-TR"/>
        </w:rPr>
        <w:t xml:space="preserve"> kararındaki ilkelerden ayrılmayı gerektirecek bir durum </w:t>
      </w:r>
      <w:r w:rsidRPr="00790F05">
        <w:rPr>
          <w:rFonts w:ascii="Palatino Linotype" w:eastAsia="Palatino Linotype" w:hAnsi="Palatino Linotype" w:cs="Palatino Linotype"/>
          <w:color w:val="000000" w:themeColor="text1"/>
          <w:lang w:val="tr-TR"/>
        </w:rPr>
        <w:lastRenderedPageBreak/>
        <w:t xml:space="preserve">olmadığını belirtmiş; Türk yargısının ByLock konusundaki </w:t>
      </w:r>
      <w:r w:rsidRPr="00790F05">
        <w:rPr>
          <w:rFonts w:ascii="Palatino Linotype" w:eastAsia="Palatino Linotype" w:hAnsi="Palatino Linotype" w:cs="Palatino Linotype"/>
          <w:b/>
          <w:bCs/>
          <w:i/>
          <w:iCs/>
          <w:color w:val="000000" w:themeColor="text1"/>
          <w:lang w:val="tr-TR"/>
        </w:rPr>
        <w:t>"kategorik ve tek tip"</w:t>
      </w:r>
      <w:r w:rsidRPr="00790F05">
        <w:rPr>
          <w:rFonts w:ascii="Palatino Linotype" w:eastAsia="Palatino Linotype" w:hAnsi="Palatino Linotype" w:cs="Palatino Linotype"/>
          <w:color w:val="000000" w:themeColor="text1"/>
          <w:lang w:val="tr-TR"/>
        </w:rPr>
        <w:t xml:space="preserve"> yaklaşımının yapısal bir sorun olduğunu vurgulamıştır. Ayrıca, OHAL koşullarının bu ihlalleri meşrulaştırmadığı teyit edilmiştir (Demirhan, §§ 35–37, 45).</w:t>
      </w:r>
    </w:p>
    <w:p w14:paraId="18D273FB" w14:textId="11ED8781" w:rsidR="00F938E7" w:rsidRPr="00790F05" w:rsidRDefault="00F938E7" w:rsidP="00F938E7">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Kararın temelinde, mahkûmiyetlerin belirleyici delil olarak ByLock tespitine dayandırılması yatmaktadır. AİHM, incelenen dosyaların ortak noktasının, ByLock verilerinin </w:t>
      </w:r>
      <w:r w:rsidRPr="00790F05">
        <w:rPr>
          <w:rFonts w:ascii="Palatino Linotype" w:eastAsia="Palatino Linotype" w:hAnsi="Palatino Linotype" w:cs="Palatino Linotype"/>
          <w:b/>
          <w:bCs/>
          <w:i/>
          <w:iCs/>
          <w:color w:val="000000" w:themeColor="text1"/>
          <w:lang w:val="tr-TR"/>
        </w:rPr>
        <w:t>"kesin ve tartışmasız ispat aracı"</w:t>
      </w:r>
      <w:r w:rsidRPr="00790F05">
        <w:rPr>
          <w:rFonts w:ascii="Palatino Linotype" w:eastAsia="Palatino Linotype" w:hAnsi="Palatino Linotype" w:cs="Palatino Linotype"/>
          <w:color w:val="000000" w:themeColor="text1"/>
          <w:lang w:val="tr-TR"/>
        </w:rPr>
        <w:t xml:space="preserve"> sayılarak hüküm kurulması olduğunu saptamıştır (Demirhan, §§ 14–20).</w:t>
      </w:r>
    </w:p>
    <w:p w14:paraId="5CB817A8" w14:textId="77777777" w:rsidR="00F938E7" w:rsidRPr="00790F05" w:rsidRDefault="00F938E7" w:rsidP="00F938E7">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Ulusal mahkemeler, ByLock kullanımını doğrudan </w:t>
      </w:r>
      <w:r w:rsidRPr="00790F05">
        <w:rPr>
          <w:rFonts w:ascii="Palatino Linotype" w:eastAsia="Palatino Linotype" w:hAnsi="Palatino Linotype" w:cs="Palatino Linotype"/>
          <w:b/>
          <w:bCs/>
          <w:i/>
          <w:iCs/>
          <w:color w:val="000000" w:themeColor="text1"/>
          <w:lang w:val="tr-TR"/>
        </w:rPr>
        <w:t>"örgüt üyeliği"</w:t>
      </w:r>
      <w:r w:rsidRPr="00790F05">
        <w:rPr>
          <w:rFonts w:ascii="Palatino Linotype" w:eastAsia="Palatino Linotype" w:hAnsi="Palatino Linotype" w:cs="Palatino Linotype"/>
          <w:color w:val="000000" w:themeColor="text1"/>
          <w:lang w:val="tr-TR"/>
        </w:rPr>
        <w:t xml:space="preserve"> ile eşdeğer tutan otomatik bir varsayımla hareket etmiştir. Bu yaklaşım, suçun oluşması için gereken </w:t>
      </w:r>
      <w:r w:rsidRPr="00790F05">
        <w:rPr>
          <w:rFonts w:ascii="Palatino Linotype" w:eastAsia="Palatino Linotype" w:hAnsi="Palatino Linotype" w:cs="Palatino Linotype"/>
          <w:b/>
          <w:bCs/>
          <w:i/>
          <w:iCs/>
          <w:color w:val="000000" w:themeColor="text1"/>
          <w:lang w:val="tr-TR"/>
        </w:rPr>
        <w:t>"manevi unsurun (kastın)"</w:t>
      </w:r>
      <w:r w:rsidRPr="00790F05">
        <w:rPr>
          <w:rFonts w:ascii="Palatino Linotype" w:eastAsia="Palatino Linotype" w:hAnsi="Palatino Linotype" w:cs="Palatino Linotype"/>
          <w:color w:val="000000" w:themeColor="text1"/>
          <w:lang w:val="tr-TR"/>
        </w:rPr>
        <w:t xml:space="preserve"> araştırılmasını engellemiş ve kişisel sorumluluğu otomatik bir şekli suça indirgemiştir (Demirhan, §§ 14–16; Yalçınkaya, §§ 257, 262–271).</w:t>
      </w:r>
    </w:p>
    <w:p w14:paraId="1D708012" w14:textId="77777777" w:rsidR="00F938E7" w:rsidRPr="00790F05" w:rsidRDefault="00F938E7" w:rsidP="00F938E7">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Hükümetin dosyaların özgünlüğüne dair savunmalarına rağmen, </w:t>
      </w:r>
      <w:r w:rsidRPr="00790F05">
        <w:rPr>
          <w:rFonts w:ascii="Palatino Linotype" w:eastAsia="Palatino Linotype" w:hAnsi="Palatino Linotype" w:cs="Palatino Linotype"/>
          <w:i/>
          <w:iCs/>
          <w:color w:val="000000" w:themeColor="text1"/>
          <w:lang w:val="tr-TR"/>
        </w:rPr>
        <w:t>Demirhan</w:t>
      </w:r>
      <w:r w:rsidRPr="00790F05">
        <w:rPr>
          <w:rFonts w:ascii="Palatino Linotype" w:eastAsia="Palatino Linotype" w:hAnsi="Palatino Linotype" w:cs="Palatino Linotype"/>
          <w:color w:val="000000" w:themeColor="text1"/>
          <w:lang w:val="tr-TR"/>
        </w:rPr>
        <w:t xml:space="preserve"> kararını da </w:t>
      </w:r>
      <w:r w:rsidRPr="00790F05">
        <w:rPr>
          <w:rFonts w:ascii="Palatino Linotype" w:eastAsia="Palatino Linotype" w:hAnsi="Palatino Linotype" w:cs="Palatino Linotype"/>
          <w:i/>
          <w:iCs/>
          <w:color w:val="000000" w:themeColor="text1"/>
          <w:lang w:val="tr-TR"/>
        </w:rPr>
        <w:t>Yalçınkaya</w:t>
      </w:r>
      <w:r w:rsidRPr="00790F05">
        <w:rPr>
          <w:rFonts w:ascii="Palatino Linotype" w:eastAsia="Palatino Linotype" w:hAnsi="Palatino Linotype" w:cs="Palatino Linotype"/>
          <w:color w:val="000000" w:themeColor="text1"/>
          <w:lang w:val="tr-TR"/>
        </w:rPr>
        <w:t xml:space="preserve"> kararındaki </w:t>
      </w:r>
      <w:r w:rsidRPr="00790F05">
        <w:rPr>
          <w:rFonts w:ascii="Palatino Linotype" w:eastAsia="Palatino Linotype" w:hAnsi="Palatino Linotype" w:cs="Palatino Linotype"/>
          <w:b/>
          <w:bCs/>
          <w:i/>
          <w:iCs/>
          <w:color w:val="000000" w:themeColor="text1"/>
          <w:lang w:val="tr-TR"/>
        </w:rPr>
        <w:t>"sistemik sorunlar"</w:t>
      </w:r>
      <w:r w:rsidRPr="00790F05">
        <w:rPr>
          <w:rFonts w:ascii="Palatino Linotype" w:eastAsia="Palatino Linotype" w:hAnsi="Palatino Linotype" w:cs="Palatino Linotype"/>
          <w:color w:val="000000" w:themeColor="text1"/>
          <w:lang w:val="tr-TR"/>
        </w:rPr>
        <w:t xml:space="preserve"> çerçevesinde değerlendirmiştir. Mahkemeye göre belirleyici olan, dosya detaylarından ziyade, ByLock’a ulusal ölçekte atfedilen kategorik ispat gücü ve uygulanan tek tip yargılama pratiğidir (Demirhan, §§ 35–38).</w:t>
      </w:r>
    </w:p>
    <w:p w14:paraId="7FEDE590" w14:textId="77777777" w:rsidR="00F938E7" w:rsidRPr="00790F05" w:rsidRDefault="00F938E7" w:rsidP="00F938E7">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b/>
          <w:bCs/>
          <w:color w:val="000000" w:themeColor="text1"/>
          <w:lang w:val="tr-TR"/>
        </w:rPr>
        <w:t>AİHS 7. Madde (Kanunilik) Yönünden:</w:t>
      </w:r>
      <w:r w:rsidRPr="00790F05">
        <w:rPr>
          <w:rFonts w:ascii="Palatino Linotype" w:eastAsia="Palatino Linotype" w:hAnsi="Palatino Linotype" w:cs="Palatino Linotype"/>
          <w:color w:val="000000" w:themeColor="text1"/>
          <w:lang w:val="tr-TR"/>
        </w:rPr>
        <w:t xml:space="preserve"> ByLock kullanımının, otomatik olarak </w:t>
      </w:r>
      <w:r w:rsidRPr="00790F05">
        <w:rPr>
          <w:rFonts w:ascii="Palatino Linotype" w:eastAsia="Palatino Linotype" w:hAnsi="Palatino Linotype" w:cs="Palatino Linotype"/>
          <w:i/>
          <w:iCs/>
          <w:color w:val="000000" w:themeColor="text1"/>
          <w:lang w:val="tr-TR"/>
        </w:rPr>
        <w:t>"bilerek ve isteyerek örgüt üyeliği"</w:t>
      </w:r>
      <w:r w:rsidRPr="00790F05">
        <w:rPr>
          <w:rFonts w:ascii="Palatino Linotype" w:eastAsia="Palatino Linotype" w:hAnsi="Palatino Linotype" w:cs="Palatino Linotype"/>
          <w:color w:val="000000" w:themeColor="text1"/>
          <w:lang w:val="tr-TR"/>
        </w:rPr>
        <w:t xml:space="preserve"> sayılması, yasaların sanık aleyhine öngörülemez ve genişletici şekilde yorumlanmasıdır. Mahkeme, bu durumun hukuki belirlilik ilkesine aykırı olduğunu ve sistemik bir ihlal oluşturduğunu teyit etmiştir (Demirhan, §§ 37–38).</w:t>
      </w:r>
    </w:p>
    <w:p w14:paraId="648CB9E6" w14:textId="4856BC06" w:rsidR="00F938E7" w:rsidRPr="00790F05" w:rsidRDefault="00F938E7" w:rsidP="00F938E7">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b/>
          <w:bCs/>
          <w:color w:val="000000" w:themeColor="text1"/>
          <w:lang w:val="tr-TR"/>
        </w:rPr>
        <w:t>AİHS 6. Madde (Adil Yargılanma) Yönünden:</w:t>
      </w:r>
      <w:r w:rsidRPr="00790F05">
        <w:rPr>
          <w:rFonts w:ascii="Palatino Linotype" w:eastAsia="Palatino Linotype" w:hAnsi="Palatino Linotype" w:cs="Palatino Linotype"/>
          <w:color w:val="000000" w:themeColor="text1"/>
          <w:lang w:val="tr-TR"/>
        </w:rPr>
        <w:t xml:space="preserve"> Savunma makamı, ByLock verilerine (ham veri, elde ediliş şekli ve bütünlüğü) erişememiş ve delilleri etkili şekilde sorgulayamamıştır. </w:t>
      </w:r>
      <w:r w:rsidR="00F75237" w:rsidRPr="00790F05">
        <w:rPr>
          <w:rFonts w:ascii="Palatino Linotype" w:eastAsia="Palatino Linotype" w:hAnsi="Palatino Linotype" w:cs="Palatino Linotype"/>
          <w:color w:val="000000" w:themeColor="text1"/>
          <w:lang w:val="tr-TR"/>
        </w:rPr>
        <w:t xml:space="preserve"> </w:t>
      </w:r>
      <w:r w:rsidRPr="00790F05">
        <w:rPr>
          <w:rFonts w:ascii="Palatino Linotype" w:eastAsia="Palatino Linotype" w:hAnsi="Palatino Linotype" w:cs="Palatino Linotype"/>
          <w:color w:val="000000" w:themeColor="text1"/>
          <w:lang w:val="tr-TR"/>
        </w:rPr>
        <w:t xml:space="preserve">Mahkemelerin sadece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raporlara dayanması ve teknik itirazları karşılamaması, </w:t>
      </w:r>
      <w:r w:rsidRPr="00790F05">
        <w:rPr>
          <w:rFonts w:ascii="Palatino Linotype" w:eastAsia="Palatino Linotype" w:hAnsi="Palatino Linotype" w:cs="Palatino Linotype"/>
          <w:i/>
          <w:iCs/>
          <w:color w:val="000000" w:themeColor="text1"/>
          <w:lang w:val="tr-TR"/>
        </w:rPr>
        <w:t>"silahların eşitliği"</w:t>
      </w:r>
      <w:r w:rsidRPr="00790F05">
        <w:rPr>
          <w:rFonts w:ascii="Palatino Linotype" w:eastAsia="Palatino Linotype" w:hAnsi="Palatino Linotype" w:cs="Palatino Linotype"/>
          <w:color w:val="000000" w:themeColor="text1"/>
          <w:lang w:val="tr-TR"/>
        </w:rPr>
        <w:t xml:space="preserve"> ilkesini zedelemiş ve yargılamayı adil olmaktan çıkarmıştır (Demirhan, §§ 42–45).</w:t>
      </w:r>
    </w:p>
    <w:p w14:paraId="14187A7B" w14:textId="184A0119" w:rsidR="00F75237" w:rsidRPr="00790F05" w:rsidRDefault="00F938E7" w:rsidP="00C61881">
      <w:pPr>
        <w:pStyle w:val="ListeParagraf"/>
        <w:numPr>
          <w:ilvl w:val="0"/>
          <w:numId w:val="5"/>
        </w:numPr>
        <w:pBdr>
          <w:top w:val="nil"/>
          <w:left w:val="nil"/>
          <w:bottom w:val="nil"/>
          <w:right w:val="nil"/>
          <w:between w:val="nil"/>
        </w:pBdr>
        <w:tabs>
          <w:tab w:val="left" w:pos="3870"/>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Sonuç olarak Mahkeme, AİHS’in 6. ve 7. maddelerinin ihlal edildiğine karar vermiştir. İhlalin giderilmesi için en uygun yol, </w:t>
      </w:r>
      <w:r w:rsidRPr="00790F05">
        <w:rPr>
          <w:rFonts w:ascii="Palatino Linotype" w:eastAsia="Palatino Linotype" w:hAnsi="Palatino Linotype" w:cs="Palatino Linotype"/>
          <w:i/>
          <w:iCs/>
          <w:color w:val="000000" w:themeColor="text1"/>
          <w:lang w:val="tr-TR"/>
        </w:rPr>
        <w:t>Yalçınkaya</w:t>
      </w:r>
      <w:r w:rsidRPr="00790F05">
        <w:rPr>
          <w:rFonts w:ascii="Palatino Linotype" w:eastAsia="Palatino Linotype" w:hAnsi="Palatino Linotype" w:cs="Palatino Linotype"/>
          <w:color w:val="000000" w:themeColor="text1"/>
          <w:lang w:val="tr-TR"/>
        </w:rPr>
        <w:t xml:space="preserve"> kararında da işaret edildiği üzere, </w:t>
      </w:r>
      <w:r w:rsidRPr="00790F05">
        <w:rPr>
          <w:rFonts w:ascii="Palatino Linotype" w:eastAsia="Palatino Linotype" w:hAnsi="Palatino Linotype" w:cs="Palatino Linotype"/>
          <w:b/>
          <w:bCs/>
          <w:color w:val="000000" w:themeColor="text1"/>
          <w:lang w:val="tr-TR"/>
        </w:rPr>
        <w:t xml:space="preserve">CMK 311/1-f maddesi uyarınca yargılamanın yenilenmesidir </w:t>
      </w:r>
      <w:r w:rsidRPr="00790F05">
        <w:rPr>
          <w:rFonts w:ascii="Palatino Linotype" w:eastAsia="Palatino Linotype" w:hAnsi="Palatino Linotype" w:cs="Palatino Linotype"/>
          <w:color w:val="000000" w:themeColor="text1"/>
          <w:lang w:val="tr-TR"/>
        </w:rPr>
        <w:t>(Demirhan, § 46, 53; Yalçınkaya, § 425).</w:t>
      </w:r>
    </w:p>
    <w:p w14:paraId="325FB7D3" w14:textId="21C377F8" w:rsidR="00B763D9" w:rsidRPr="00790F05" w:rsidRDefault="00000000" w:rsidP="00F83F01">
      <w:pPr>
        <w:pStyle w:val="ListeParagraf"/>
        <w:pBdr>
          <w:top w:val="nil"/>
          <w:left w:val="nil"/>
          <w:bottom w:val="nil"/>
          <w:right w:val="nil"/>
          <w:between w:val="nil"/>
        </w:pBdr>
        <w:tabs>
          <w:tab w:val="left" w:pos="3870"/>
        </w:tabs>
        <w:spacing w:line="23" w:lineRule="atLeast"/>
        <w:ind w:left="709" w:hanging="425"/>
        <w:contextualSpacing w:val="0"/>
        <w:jc w:val="both"/>
        <w:rPr>
          <w:rFonts w:ascii="Palatino Linotype" w:eastAsia="Palatino Linotype" w:hAnsi="Palatino Linotype" w:cs="Palatino Linotype"/>
          <w:b/>
          <w:color w:val="000000" w:themeColor="text1"/>
        </w:rPr>
      </w:pPr>
      <w:r w:rsidRPr="00790F05">
        <w:rPr>
          <w:rFonts w:ascii="Palatino Linotype" w:eastAsia="Palatino Linotype" w:hAnsi="Palatino Linotype" w:cs="Palatino Linotype"/>
          <w:b/>
          <w:color w:val="000000" w:themeColor="text1"/>
        </w:rPr>
        <w:t>IV. AİHM’İN</w:t>
      </w:r>
      <w:r w:rsidR="00F83F01" w:rsidRPr="00790F05">
        <w:rPr>
          <w:rFonts w:ascii="Palatino Linotype" w:eastAsia="Palatino Linotype" w:hAnsi="Palatino Linotype" w:cs="Palatino Linotype"/>
          <w:b/>
          <w:color w:val="000000" w:themeColor="text1"/>
        </w:rPr>
        <w:t xml:space="preserve"> </w:t>
      </w:r>
      <w:r w:rsidRPr="00790F05">
        <w:rPr>
          <w:rFonts w:ascii="Palatino Linotype" w:eastAsia="Palatino Linotype" w:hAnsi="Palatino Linotype" w:cs="Palatino Linotype"/>
          <w:b/>
          <w:color w:val="000000" w:themeColor="text1"/>
        </w:rPr>
        <w:t>SÖZLEŞMENİN 7. MADDESİ</w:t>
      </w:r>
      <w:r w:rsidR="00D53167" w:rsidRPr="00790F05">
        <w:rPr>
          <w:rFonts w:ascii="Palatino Linotype" w:eastAsia="Palatino Linotype" w:hAnsi="Palatino Linotype" w:cs="Palatino Linotype"/>
          <w:b/>
          <w:color w:val="000000" w:themeColor="text1"/>
        </w:rPr>
        <w:t>NDEN VERDİĞİ</w:t>
      </w:r>
      <w:r w:rsidRPr="00790F05">
        <w:rPr>
          <w:rFonts w:ascii="Palatino Linotype" w:eastAsia="Palatino Linotype" w:hAnsi="Palatino Linotype" w:cs="Palatino Linotype"/>
          <w:b/>
          <w:color w:val="000000" w:themeColor="text1"/>
        </w:rPr>
        <w:t xml:space="preserve"> İHLAL</w:t>
      </w:r>
      <w:r w:rsidR="00D53167" w:rsidRPr="00790F05">
        <w:rPr>
          <w:rFonts w:ascii="Palatino Linotype" w:eastAsia="Palatino Linotype" w:hAnsi="Palatino Linotype" w:cs="Palatino Linotype"/>
          <w:b/>
          <w:color w:val="000000" w:themeColor="text1"/>
        </w:rPr>
        <w:t>İN</w:t>
      </w:r>
      <w:r w:rsidRPr="00790F05">
        <w:rPr>
          <w:rFonts w:ascii="Palatino Linotype" w:eastAsia="Palatino Linotype" w:hAnsi="Palatino Linotype" w:cs="Palatino Linotype"/>
          <w:b/>
          <w:color w:val="000000" w:themeColor="text1"/>
        </w:rPr>
        <w:t xml:space="preserve"> GEREKÇELERİ</w:t>
      </w:r>
      <w:r w:rsidR="00D53167" w:rsidRPr="00790F05">
        <w:rPr>
          <w:rFonts w:ascii="Palatino Linotype" w:eastAsia="Palatino Linotype" w:hAnsi="Palatino Linotype" w:cs="Palatino Linotype"/>
          <w:b/>
          <w:color w:val="000000" w:themeColor="text1"/>
        </w:rPr>
        <w:t xml:space="preserve"> VE MAHKEMEDEN TALEPLER</w:t>
      </w:r>
    </w:p>
    <w:p w14:paraId="0840D103" w14:textId="77777777" w:rsidR="001F67CC"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F67CC">
        <w:rPr>
          <w:rFonts w:ascii="Palatino Linotype" w:eastAsia="Times New Roman" w:hAnsi="Palatino Linotype" w:cs="Times New Roman"/>
          <w:b/>
          <w:bCs/>
          <w:color w:val="000000"/>
          <w:lang w:val="tr-NL"/>
        </w:rPr>
        <w:t>AİHM, Demirhan ve Diğerleri kararında</w:t>
      </w:r>
      <w:r w:rsidRPr="001322B1">
        <w:rPr>
          <w:rFonts w:ascii="Palatino Linotype" w:eastAsia="Times New Roman" w:hAnsi="Palatino Linotype" w:cs="Times New Roman"/>
          <w:color w:val="000000"/>
          <w:lang w:val="tr-NL"/>
        </w:rPr>
        <w:t xml:space="preserve"> (§§ 35–38, 45-46), Yüksel Yalçınkaya içtihadından ayrılmayı gerektirecek bir durum olmadığını açıkça ortaya koymuş ve her iki dosyada da "kanunsuz ceza olmaz" ilkesini (AİHS m. 7) ihlal eden temel sorunun aynı olduğunu vurgulamıştır. Mahkeme, TCK’nın 314/2. maddesinin ulusal mahkemelerce aşırı geniş ve öngörülemez biçimde yorumlandığını; sırf ByLock kullanımının örgüt üyeliğinin kesin kanıtı sayılmasının, suçun hem maddi hem de manevi unsurlarının kişiselleştirilmesini engelleyerek yasallık ve öngörülebilirlik ilkelerini ihlal ettiğini tespit etmiştir (Demirhan, §§ 37-38; Yalçınkaya §§ 237-238, 257, 264-266). Ceza hukuku kurallarının sanık aleyhine geriye yürütülemez ve kıyas yoluyla genişletilemez olduğu vurgulanmıştır (Yalçınkaya §§ 237-238, 267). </w:t>
      </w:r>
    </w:p>
    <w:p w14:paraId="31AB0A32" w14:textId="39789A98"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 Büyük Dairesi'nin yakın zamanda verdiği </w:t>
      </w:r>
      <w:r w:rsidRPr="001F67CC">
        <w:rPr>
          <w:rFonts w:ascii="Palatino Linotype" w:eastAsia="Times New Roman" w:hAnsi="Palatino Linotype" w:cs="Times New Roman"/>
          <w:b/>
          <w:bCs/>
          <w:color w:val="000000"/>
          <w:lang w:val="tr-NL"/>
        </w:rPr>
        <w:t>Yasak</w:t>
      </w:r>
      <w:r w:rsidR="001F67CC">
        <w:rPr>
          <w:rFonts w:ascii="Palatino Linotype" w:eastAsia="Times New Roman" w:hAnsi="Palatino Linotype" w:cs="Times New Roman"/>
          <w:b/>
          <w:bCs/>
          <w:color w:val="000000"/>
          <w:lang w:val="tr-NL"/>
        </w:rPr>
        <w:t>/</w:t>
      </w:r>
      <w:r w:rsidRPr="001F67CC">
        <w:rPr>
          <w:rFonts w:ascii="Palatino Linotype" w:eastAsia="Times New Roman" w:hAnsi="Palatino Linotype" w:cs="Times New Roman"/>
          <w:b/>
          <w:bCs/>
          <w:color w:val="000000"/>
          <w:lang w:val="tr-NL"/>
        </w:rPr>
        <w:t>Türkiye kararı</w:t>
      </w:r>
      <w:r w:rsidRPr="001322B1">
        <w:rPr>
          <w:rFonts w:ascii="Palatino Linotype" w:eastAsia="Times New Roman" w:hAnsi="Palatino Linotype" w:cs="Times New Roman"/>
          <w:color w:val="000000"/>
          <w:lang w:val="tr-NL"/>
        </w:rPr>
        <w:t xml:space="preserve"> (B.No: 17389/20) ise, bu ihlal tespitlerini çok daha geniş bir delil yelpazesi üzerinden ele almış ve cezai sorumluluğun tespiti için zorunlu olan "manevi unsur" (mens rea / suç kastı) şartını net sınırlarla çizmiştir. Yasak kararında, salt ByLock değil, çok daha çeşitli delillere dayalı mahkûmiyetler incelenmiş ve eylemler ne denli çeşitli olursa olsun, maddi ve manevi </w:t>
      </w:r>
      <w:r w:rsidRPr="001322B1">
        <w:rPr>
          <w:rFonts w:ascii="Palatino Linotype" w:eastAsia="Times New Roman" w:hAnsi="Palatino Linotype" w:cs="Times New Roman"/>
          <w:color w:val="000000"/>
          <w:lang w:val="tr-NL"/>
        </w:rPr>
        <w:lastRenderedPageBreak/>
        <w:t>unsurlar somut bir biçimde bireyselleştirilerek incelenmeksizin verilen kararların 7. maddeyi açıkça ihlal edeceği hüküm altına alınmıştır (Yasak, §§ 200-202).</w:t>
      </w:r>
    </w:p>
    <w:p w14:paraId="09B2F549"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Bu tespitler ışığında, isnat edilen eylem tarihinde sırf ByLock kullanımının veya gerçekleştirilen faaliyetlerin TCK 314/2 kapsamında örgüt üyeliği sayılacağının o dönemin kanunları ve yerleşik içtihatları açısından öngörülebilir olup olmadığının tespit edilmesini ve bu durumun somut olaya uygulanarak denetime elverişli şekilde gerekçelendirilmesini; ayrıca TCK 314/2 hükmüne eylem tarihindeki anlamını aşan ve aleyhe genişletici bir içerik yüklenip yüklenmediğinin dayanaklarıyla açıklanmasını talep ediyoruz (Demirhan §§ 37-41; Yalçınkaya §§ 237-238, 265, 338).</w:t>
      </w:r>
    </w:p>
    <w:p w14:paraId="3178B22F" w14:textId="28700596"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 yargı makamlarının ByLock kullanımını veya benzeri faaliyetleri doğrudan "örgüt üyeliği" ile eşdeğer tutan otomatik bir varsayımla hareket ettiğini saptamıştır. Bir iletişim aracının teknik özellikleri (gizli veya şifreli olması) veya yasal dernek/sendika üyelikleri, sanığın “silahlı terör örgütü üyesi olma iradesiyle” (özel kast) hareket ettiğinin kesin kanıtı sayılamaz. Maddi bir olgudan manevi unsura (kast) geçişte sanık aleyhine varsayımsal ve döngüsel bir mantık kurmak, “kusursuz sorumluluk” (objektif sorumluluk) rejimi </w:t>
      </w:r>
      <w:r w:rsidR="001F67CC">
        <w:rPr>
          <w:rFonts w:ascii="Palatino Linotype" w:eastAsia="Times New Roman" w:hAnsi="Palatino Linotype" w:cs="Times New Roman"/>
          <w:color w:val="000000"/>
          <w:lang w:val="tr-NL"/>
        </w:rPr>
        <w:t>oluşturarark</w:t>
      </w:r>
      <w:r w:rsidRPr="001322B1">
        <w:rPr>
          <w:rFonts w:ascii="Palatino Linotype" w:eastAsia="Times New Roman" w:hAnsi="Palatino Linotype" w:cs="Times New Roman"/>
          <w:color w:val="000000"/>
          <w:lang w:val="tr-NL"/>
        </w:rPr>
        <w:t xml:space="preserve"> Yalçınkaya kararındaki ihlal gerekçelerini dolanmaktır (Demirhan §§ 35-38; Yalçınkaya §§ 253, 257, 263-264, 271-272, 338). Yasak kararı da bu noktada kolektif suçluluk ya da suç ortaklığı (aidiyet/iltisak temelli cezalandırma) yaklaşımını açıkça ve kesin bir dille reddetmiştir. Mahkeme, örtülü olarak da olsa yerel mahkemelerin kolektif suçluluk yaklaşımıyla mahkûmiyet verdiklerini kayda geçirmiş ve bu hukuka aykırı pratiği mahkûm ederek, cezai sorumluluğun tamamen bireysel olarak ve "suç kastıyla" birlikte tespitinin zorunlu olduğunu vurgulamıştır (Yasak, §§ 202-203).</w:t>
      </w:r>
    </w:p>
    <w:p w14:paraId="7E58858B"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AİHM'in Yasak kararında vurguladığı en önemli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koşuludur. Yargıtay tarafından geliştirilen kasıt içtihadı da kişinin bilerek ve isteyerek hareket ettiğinin, yani bizzat şiddete başvuran böyle bir yapının parçası olmayı arzuladığının ortaya konulmasını gerektirmektedir. Bir eylemi sadece örgütle temas kurmaktan ya da açıkça suç işleme kastı olmaksızın örgüte salt üye olmaktan ayıran yegane husus budur (Yasak, § 203). Yani Mahkeme, salt yapı üyeliğinin değil, ancak amaçları ve şiddet içeren yöntemlerinden haberdar olunduğu kanıtlanabilen kişilerin terör örgütü üyesi olarak cezalandırılabileceğini net bir şekilde belirtmiştir.</w:t>
      </w:r>
    </w:p>
    <w:p w14:paraId="250828D9"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Bu ihlal gerekçeleri doğrultusunda, kategorik ve toptancı kabulün reddedildiğinin kararda açıkça belirtilmesini; yargılama makamlarının "kişinin bir görev üstlendiği veya şiddet kullanımını öngörebilecek durumda olduğu" şeklindeki niyet okuyucu yaklaşımından tamamen vazgeçilmesini (Yasak, § 209); dosyaya özgü kullanım yoğunluğu, temas ağı ve atfedilen rolün kişiselleştirilerek incelenmesini ve salt “teknik tespitin kesinliği” gibi argümanların suçun manevi unsurunun oluştuğu anlamına gelmeyeceğinin gözetilerek, sanığın iradesi ile kastının ceza hukuku genel prensipleri çerçevesinde ayrıca ve somut olarak tartışılmasını talep ediyoruz.</w:t>
      </w:r>
    </w:p>
    <w:p w14:paraId="4513D058" w14:textId="052B5492"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 örgüt üyeliği suçlamasında sanığın "bilme ve isteme" şeklindeki özel kastının somut olarak ispatlanması gerektiğini belirtmiştir (Demirhan §§ 35-38; Yalçınkaya §§ 253, 263-264). AİHM Yasak kararında, kasıt unsurunun nasıl tespit edileceğine dair ulusal mahkemelerin uygulamasını incelemiş ve izlenen yöntemi son derece sorunlu bulmuştur. Kararda ne yapılması gerektiği pozitif bir hukuk kuralı olarak </w:t>
      </w:r>
      <w:r w:rsidR="001F67CC">
        <w:rPr>
          <w:rFonts w:ascii="Palatino Linotype" w:eastAsia="Times New Roman" w:hAnsi="Palatino Linotype" w:cs="Times New Roman"/>
          <w:color w:val="000000"/>
          <w:lang w:val="tr-NL"/>
        </w:rPr>
        <w:t xml:space="preserve">şöyle </w:t>
      </w:r>
      <w:r w:rsidRPr="001322B1">
        <w:rPr>
          <w:rFonts w:ascii="Palatino Linotype" w:eastAsia="Times New Roman" w:hAnsi="Palatino Linotype" w:cs="Times New Roman"/>
          <w:color w:val="000000"/>
          <w:lang w:val="tr-NL"/>
        </w:rPr>
        <w:t xml:space="preserve">tarif edilmiştir: Makamlar, bu bileşenlerle yalnızca bir bağlantının varlığını değil, bu bağlantının somut </w:t>
      </w:r>
      <w:r w:rsidRPr="001322B1">
        <w:rPr>
          <w:rFonts w:ascii="Palatino Linotype" w:eastAsia="Times New Roman" w:hAnsi="Palatino Linotype" w:cs="Times New Roman"/>
          <w:color w:val="000000"/>
          <w:lang w:val="tr-NL"/>
        </w:rPr>
        <w:lastRenderedPageBreak/>
        <w:t>içeriğini ve suç kastını ortaya koyup koymadığını araştırmak zorundadır. Yargılama makamları, kişinin örgütün merkezi veya stratejik yapılarıyla "gerçek, işlevsel ve hiyerarşik bir bağının" bulunup bulunmadığını, bu bağın kapsamını ve niteliğini, ayrıca kişinin söz konusu yapının iddia edilen şiddet içeren amaçlarını "bilerek ve isteyerek hareket edip etmediğini" somut delillerle ispat etmek zorundadır. Daha da önemlisi, sorumluluk, sonradan örgüte atfedilen şiddet veya terör niteliği üzerinden değil, yalnızca fiillerin işlendiği o dönemdeki bilgi, kast ve bağlam üzerinden değerlendirilebilir (Yasak, § 209).</w:t>
      </w:r>
    </w:p>
    <w:p w14:paraId="242C8CB3"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Büyük Daire, bu ispat zorunluluğunun neden elzem olduğunu açıklarken çok önemli bir "bağlamsal analiz" yapmıştır. Söz konusu yapının uzun yıllar boyunca toplumun değişik alanlarına, özellikle eğitim, sağlık ve finans alanlarında yer aldığını, yasal olarak ve devletin denetiminde faaliyet gösterdiği vurgulanmıştır. Dolayısıyla toplumun geniş bir kesimini oluşturan çok sayıda kişinin, bu yapının iddia edilen amaçlarından veya gizli niyetlerinden hiçbir şekilde haberdar olmadan yapının görünür ve yasal yapılarıyla temas kurmuş, faaliyet sürdürmüş olması son derece olağandır. Hal böyleyken, terör örgütü üyeliği suçunun en zorunlu unsuru olan "kasıt" unsurunun tespitinin önemi bir kat daha artmaktadır (Yasak, § 208). </w:t>
      </w:r>
      <w:r w:rsidRPr="001F67CC">
        <w:rPr>
          <w:rFonts w:ascii="Palatino Linotype" w:eastAsia="Times New Roman" w:hAnsi="Palatino Linotype" w:cs="Times New Roman"/>
          <w:color w:val="000000"/>
          <w:highlight w:val="yellow"/>
          <w:lang w:val="tr-NL"/>
        </w:rPr>
        <w:t>Müvekkilin</w:t>
      </w:r>
      <w:r w:rsidRPr="001322B1">
        <w:rPr>
          <w:rFonts w:ascii="Palatino Linotype" w:eastAsia="Times New Roman" w:hAnsi="Palatino Linotype" w:cs="Times New Roman"/>
          <w:color w:val="000000"/>
          <w:lang w:val="tr-NL"/>
        </w:rPr>
        <w:t xml:space="preserve"> rutin faaliyetlerinin de bu bağlamsal gerçeklikten kopuk değerlendirilmesi hukuken mümkün değildir.</w:t>
      </w:r>
    </w:p>
    <w:p w14:paraId="5C1E6280"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Bununla birlikte Mahkeme, Yasak kararında önemli bir "zamansal" değerlendirme de yapmıştır. Başvurucuya atfedilen eylemlerin ne zaman gerçekleştirildiği dahi tam belirlenmeden, iddialar üzerine mahkûmiyet kurulması eleştirilmiştir. İlgili yapının önce idari makamlar tarafından, sonra da mahkemeler tarafından 15 Temmuz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(Yasak, § 205).</w:t>
      </w:r>
    </w:p>
    <w:p w14:paraId="14B5C08A"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Mahkeme, kişilerin 17/25 Aralık sürecinden sonra da bağlarını sürdürmesini ulusal mahkemelerin bir faktör olarak ele almasını ikincillik ilkesi gereği ulusal takdir marjında görse de,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(Yasak, § 206). İtirafın az olduğu dosyalarda yargı makamlarının varsayımsal örgüt çıkarımı yapmasının yaygın olduğu kabul edilmekle birlikte, somut dosyalarda zamansal durumun dikkate alınmaması ve bağlamsal analizin yapılmaması doğrudan hak ihlali oluşturacaktır (Yasak, § 207).</w:t>
      </w:r>
    </w:p>
    <w:p w14:paraId="1BA82129"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AİHM’e göre, ulusal mahkemelerin ByLock tespitini mahkumiyet için tek başına yeterli görmesi, örgüt üyeliği suçu için aranan "süreklilik, çeşitlilik ve yoğunluk" kriterlerinin göz ardı edilmesine yol açmıştır (Demirhan §§ 37-38; Yalçınkaya §§ 257, 264-266). Yasak kararında, Yargıtay'ın söz konusu yapıya atfettiği 7 katmanlı hiyerarşik yapının muğlaklığına da özel olarak yer verilmiştir.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(Yasak, § 210). Atıf yapılan bu katmanlı yapının muğlak tasvirlerinin varsayımsal cezalandırmalara dayanak yapılması, AİHM tarafından doğrudan 7. madde aleyhine yorumlanmıştır. Yeniden yapılacak yargılamada, örgüt üyeliği için zorunlu olan unsurların her birinin hangi somut delille ispatlandığının </w:t>
      </w:r>
      <w:r w:rsidRPr="001322B1">
        <w:rPr>
          <w:rFonts w:ascii="Palatino Linotype" w:eastAsia="Times New Roman" w:hAnsi="Palatino Linotype" w:cs="Times New Roman"/>
          <w:color w:val="000000"/>
          <w:lang w:val="tr-NL"/>
        </w:rPr>
        <w:lastRenderedPageBreak/>
        <w:t>tek tek gösterilmesini; ByLock kullanımının veya soyut hiyerarşi katmanlarının tek başına bu unsurları karşıladığı varsayımından vazgeçilerek beraat kararı verilmesini talep ediyoruz.</w:t>
      </w:r>
    </w:p>
    <w:p w14:paraId="1C0CF01F" w14:textId="5B55D21A"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AİHM, mesaj içeriklerine veya yan delillere bakılmaksızın sadece Bylock kullanımın tespitinin "kesin delil" sayılmasını eleştirmiştir (Demirhan §§ 37-38; Yalçınkaya §§ 257, 265-267). Uygulamanın halka açık mağazalardan indirilebilir olduğu bir dönemde "münhasırlık" iddiasının zayıfladığını saptamıştır (Demirhan §§ 35-36; Yalçınkaya § 338). Bu nedenle, somut içerik olmaksızın tüm kullanıcılar hakkında aynı sonucun çıkarılmasının öngörülemez olduğu belirtilerek hukuka uygunluğu ispatlanan mesaj içerikleri ve hiyerarşik yapıya dair bağlamsal delillerin dosyaya getirtilmesini</w:t>
      </w:r>
      <w:r w:rsidR="001F67CC">
        <w:rPr>
          <w:rFonts w:ascii="Palatino Linotype" w:eastAsia="Times New Roman" w:hAnsi="Palatino Linotype" w:cs="Times New Roman"/>
          <w:color w:val="000000"/>
          <w:lang w:val="tr-NL"/>
        </w:rPr>
        <w:t xml:space="preserve"> ve</w:t>
      </w:r>
      <w:r w:rsidRPr="001322B1">
        <w:rPr>
          <w:rFonts w:ascii="Palatino Linotype" w:eastAsia="Times New Roman" w:hAnsi="Palatino Linotype" w:cs="Times New Roman"/>
          <w:color w:val="000000"/>
          <w:lang w:val="tr-NL"/>
        </w:rPr>
        <w:t xml:space="preserve"> bu veriler yoksa salt kullanım tespitine dayalı hüküm kurulmamasını talep ediyoruz (Demirhan §§ 35-38; Yalçınkaya §§ 258, 265-267, 338).</w:t>
      </w:r>
    </w:p>
    <w:p w14:paraId="3764A104" w14:textId="5C1A28E5"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AİHM'in Büyük Daire olarak verdiği </w:t>
      </w:r>
      <w:r w:rsidRPr="001F67CC">
        <w:rPr>
          <w:rFonts w:ascii="Palatino Linotype" w:eastAsia="Times New Roman" w:hAnsi="Palatino Linotype" w:cs="Times New Roman"/>
          <w:b/>
          <w:bCs/>
          <w:color w:val="000000"/>
          <w:lang w:val="tr-NL"/>
        </w:rPr>
        <w:t xml:space="preserve">Yalçınkaya kararı ve bu içtihadı takip eden Demirhan </w:t>
      </w:r>
      <w:r w:rsidR="001F67CC">
        <w:rPr>
          <w:rFonts w:ascii="Palatino Linotype" w:eastAsia="Times New Roman" w:hAnsi="Palatino Linotype" w:cs="Times New Roman"/>
          <w:b/>
          <w:bCs/>
          <w:color w:val="000000"/>
          <w:lang w:val="tr-NL"/>
        </w:rPr>
        <w:t>kararı ile</w:t>
      </w:r>
      <w:r w:rsidRPr="001F67CC">
        <w:rPr>
          <w:rFonts w:ascii="Palatino Linotype" w:eastAsia="Times New Roman" w:hAnsi="Palatino Linotype" w:cs="Times New Roman"/>
          <w:b/>
          <w:bCs/>
          <w:color w:val="000000"/>
          <w:lang w:val="tr-NL"/>
        </w:rPr>
        <w:t xml:space="preserve"> Yasak </w:t>
      </w:r>
      <w:r w:rsidRPr="001322B1">
        <w:rPr>
          <w:rFonts w:ascii="Palatino Linotype" w:eastAsia="Times New Roman" w:hAnsi="Palatino Linotype" w:cs="Times New Roman"/>
          <w:color w:val="000000"/>
          <w:lang w:val="tr-NL"/>
        </w:rPr>
        <w:t>kararlarında ortaya koyduğu ilkelerin sadece ByLock uygulamasına özgü teknik bir tespit olmadığı; aksine Mahkemenin asıl vurgusunun, "suçun delili olabilecek bir olgunun, sanki suçun unsuruymuş gibi kabul edilmesine" ve bu yolla "suç tipinin kapsamının yargı eliyle fiilen genişletilerek yasallık ilkesinin ihlal edilmesine" yönelik olduğu tartışmasız bir gerçektir. Bu bağlamda, dosyalarda yer alan ve mahkûmiyet gerekçelerinde sıkça sıralanan; ByLock kullanım iddiası, şifreli mesaj içerikleri, tanık beyanları, sendika/dernek/vakıf üyeliği, Bank Asya hesap hareketleri, yasal yayınlara abonelik, gezilere katılım, yurt dışı giriş-çıkış kayıtları, bağış yapma, sosyal medya paylaşımları, öğrenci yurdunda kalma, HTS kayıtları, kurum istihdamı gibi hususlar, suç tarihinde yasal ve rutin faaliyetler olup, AİHM içtihatları gereğince yasallık ilkesinin koruması altındadır. 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Dosyadaki var olan (ve aslen yasal olan) delilleri alt alta sıralayıp, bu delillerin kişinin örgütün iddia edilen terörist amaçlarından gerçekten haberdar olduğunu ve bu bilgiyle örgüte katıldığını açıklamaya çalışmaksızın "kastın varlığına" hükmedilmesi kabul edilemez (Yasak, § 211). Bu faaliyetlerin hiçbiri, TCK’da tanımlanan "silahlı terör örgütü üyeliği" suçunun maddi unsurlarını ve bilhassa "cebir ve şiddet içermesi gereken nihai amacın bilindiği ve istendiği" şeklindeki manevi unsurunu kanıtlamaya elverişli değildir (Demirhan § 16).</w:t>
      </w:r>
    </w:p>
    <w:p w14:paraId="2A81E26F"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 xml:space="preserve">AİHM, yargılamalarda yapılan temel hata olan suçun kurucu unsurları yerine delillerin ikame edilmesini eleştirmiştir. Hükümetin "başvurucularla ilgili ByLock dışında başka deliller de var" savunmasını reddeden AİHM, suçun unsurlarının varlığı ortaya konulmadan, kriter olarak adlandırılan delillerin otomatik bir cezalandırma gerekçesi yapılmasını 7. maddenin ihlali saymıştır (Yalçınkaya, §§ 268, 341-343; Demirhan, § 39). Mahkemenin nihai sonucuna göre; ulusal makamlar ve mahkemeler, başvurucuların örgütün terör örgütü olarak tanımlanmasından çok önce iç hukukta sahip olduğu yasal statü etrafında belirli eylemlerde bulunmalarının, onların "örgütün terörist niteliği ve amaçlarından haberdar oldukları", "bu örgütün bir parçası olmayı amaçladıkları" ve örgütün amaçlarına "aktif, sürekli bir şekilde katkıda bulundukları" sonucuna nasıl yol açtığını hukuken açıklayamamışlardır. Bu durum doğrudan doğruya, cezai sorumluluk atfı </w:t>
      </w:r>
      <w:r w:rsidRPr="001322B1">
        <w:rPr>
          <w:rFonts w:ascii="Palatino Linotype" w:eastAsia="Times New Roman" w:hAnsi="Palatino Linotype" w:cs="Times New Roman"/>
          <w:color w:val="000000"/>
          <w:lang w:val="tr-NL"/>
        </w:rPr>
        <w:lastRenderedPageBreak/>
        <w:t>için zorunlu olan manevi unsur tespit edilmeden kişinin cezalandırılmama hakkını garanti eden Sözleşmenin 7. maddesinin ihlalidir (Yasak, §§ 212-213).</w:t>
      </w:r>
    </w:p>
    <w:p w14:paraId="53D876D8"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Bu kapsamda, yeniden başlayacak yargılama sürecinde dikkat edilmesi gereken en önemli husus; tıpkı ByLock'ta olduğu gibi, diğer delil ve kriterlerin varlığının tespiti halinde de "otomatik cezalandırma" yoluna gidilmemesidir. Yargılamada yapılması gereken "kriter tespiti" veya "delil sayımı" değil, "suçun unsurlarının tespiti"dir. Bu nedenle, yeniden yargılama aşamasında dosyaya yeni bir veri girmesi durumunda dahi; şayet bu yeni veriler suçun unsurlarının (özellikle manevi unsurun) varlığını somut, şüpheye yer bırakmayacak ve kişiselleştirilmiş şekilde göstermiyorsa, bunlara cezalandırma için "yeni delil" değeri atfedilmemeli; cebir ve şiddet içeren eylemleri bilme ve isteme kastını ispatlamadığı sürece bu veriler üzerinden sanığın hukuki durumu aleyhine sonuç çıkarılmamalıdır.</w:t>
      </w:r>
    </w:p>
    <w:p w14:paraId="325410FD"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Yalçınkaya ve devamı kararlar ile Yasak Büyük Daire kararları birbirinden bağımsız kararlar değil, yargı sistemimizdeki aynı yapısal sorunun birbirini tamamlayan iki farklı görünümüne ilişkindir ve birlikte uygulanmak zorundadır. Yalçınkaya kararı otomatik mahkûmiyet, öngörülebilirlik, kanunilik ve delillerin bireyselleştirilmeden kullanılmasının hukuka aykırılığını tespit etmişken; Yasak kararı sorunu daha da temele indirerek kişinin yapının şiddet içeren amaçlarını bilip bilmediğinin (manevi unsurun) mutlaka bireysel olarak ispat edilmesini şart koşmuştur. 15 Temmuz öncesi yasal veya rutin faaliyetlerin, sonradan geriye yürütülerek örgüt üyeliği suçunun deliline dönüştürülmesi ve kişinin terör kastı ispatlanmadan cezalandırma yoluna gidilmesi hukuka aykırıdır.</w:t>
      </w:r>
    </w:p>
    <w:p w14:paraId="5E1C8F8D"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Tüm bu hukuki ve fiili gerçekler muvacehesinde; müvekkilin dava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statüsüne bakılarak geriye dönük olarak var sayılamaz. Müvekkilin hiçbir şiddet eylemine karışmadığı, söz konusu stratejik veya merkezi yapısıyla hiçbir hiyerarşik bağının bulunmadığı ve suç işleme kastıyla hareket etmediği açık olduğundan, Sayın Mahkemenizce varsayımlara ve kolektif suçluluk algısına dayalı bir cezalandırma yoluna gidilmemesi hukukun ve hakkaniyetin gereğidir.</w:t>
      </w:r>
    </w:p>
    <w:p w14:paraId="08BC05AB" w14:textId="77777777" w:rsidR="001322B1" w:rsidRPr="001322B1" w:rsidRDefault="001322B1" w:rsidP="001322B1">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1322B1">
        <w:rPr>
          <w:rFonts w:ascii="Palatino Linotype" w:eastAsia="Times New Roman" w:hAnsi="Palatino Linotype" w:cs="Times New Roman"/>
          <w:color w:val="000000"/>
          <w:lang w:val="tr-NL"/>
        </w:rPr>
        <w:t>Özetle ve sonuç olarak; AİHM, 7. maddenin hukukun üstünlüğünün temeli olduğunu vurgulamıştır (Yalçınkaya § 270). AİHM'in Yalçınkaya, Demirhan ve Yasak kararlarında ortaya koyduğu ilkeler ışığında, ByLock ile diğer delil ve kriterler arasında hukuki nitelik ve ispat gücü bakımından bir fark bulunmamaktadır ve bu unsurların hiçbiri tek başına "suç kastı" yerine geçemez. Bu nedenle, mahkemenizden talebimiz; öncelikle isnat edilen suçun maddi ve manevi unsurlarının şahsım/eşim/müvekkil bakımından nasıl gerçekleştiğini, varsayım ve ön kabullere değil, şüpheye yer bırakmayacak somut delillere dayanarak ortaya koymasıdır. Ancak bu ispat yapıldıktan sonra "kriter" denilen hususların suçun unsurlarının varlığına nasıl delil teşkil ettiğinin gerekçelendirilmesi mümkündür. Aksi takdirde, suçun unsurlarının oluşmadığı gözetilerek, kriterlerin varlığına bakılmaksızın beraat kararı verilmesini talep ediyoruz.</w:t>
      </w:r>
    </w:p>
    <w:p w14:paraId="00000050" w14:textId="52D51F5D" w:rsidR="009E0554" w:rsidRPr="00790F05" w:rsidRDefault="00000000" w:rsidP="007A7436">
      <w:pPr>
        <w:tabs>
          <w:tab w:val="left" w:pos="709"/>
          <w:tab w:val="left" w:pos="851"/>
        </w:tabs>
        <w:spacing w:line="23" w:lineRule="atLeast"/>
        <w:ind w:left="720" w:hanging="294"/>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b/>
          <w:color w:val="000000" w:themeColor="text1"/>
        </w:rPr>
        <w:t xml:space="preserve">B. </w:t>
      </w:r>
      <w:r w:rsidR="00F83F01" w:rsidRPr="00790F05">
        <w:rPr>
          <w:rFonts w:ascii="Palatino Linotype" w:eastAsia="Palatino Linotype" w:hAnsi="Palatino Linotype" w:cs="Palatino Linotype"/>
          <w:b/>
          <w:color w:val="000000" w:themeColor="text1"/>
        </w:rPr>
        <w:t xml:space="preserve">   AİHM’İN SÖZLEŞMENİN 6. MADDESİNDEN VERDİĞİ İHLALİN GEREKÇELERİ VE MAHKEMEDEN TALEPLER</w:t>
      </w:r>
    </w:p>
    <w:p w14:paraId="299296BE" w14:textId="77777777" w:rsidR="00F83F01" w:rsidRPr="00790F05" w:rsidRDefault="00F938E7" w:rsidP="00C8372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w:t>
      </w:r>
      <w:r w:rsidR="00F83F01" w:rsidRPr="00790F05">
        <w:rPr>
          <w:rFonts w:ascii="Palatino Linotype" w:eastAsia="Palatino Linotype" w:hAnsi="Palatino Linotype" w:cs="Palatino Linotype"/>
          <w:color w:val="000000" w:themeColor="text1"/>
          <w:lang w:val="tr-TR"/>
        </w:rPr>
        <w:t xml:space="preserve">Demirhan ve Diğerleri kararında (§§ 35–38, 42-45, 45–46), adil yargılanma hakkı (AİHS m. 6/1) bakımından Yüksel Yalçınkaya içtihadından ayrılmayı gerektirecek bir durum olmadığını belirterek her iki kararda da savunma makamının ByLock verilerine </w:t>
      </w:r>
      <w:r w:rsidR="00F83F01" w:rsidRPr="00790F05">
        <w:rPr>
          <w:rFonts w:ascii="Palatino Linotype" w:eastAsia="Palatino Linotype" w:hAnsi="Palatino Linotype" w:cs="Palatino Linotype"/>
          <w:color w:val="000000" w:themeColor="text1"/>
          <w:lang w:val="tr-TR"/>
        </w:rPr>
        <w:lastRenderedPageBreak/>
        <w:t xml:space="preserve">etkin erişiminin sağlanamadığını ve silahların eşitliği ilkesinin ihlal edildiğini tespit etmiştir (Yalçınkaya §§ 324–345, 353–356). </w:t>
      </w:r>
    </w:p>
    <w:p w14:paraId="60B9BBD4" w14:textId="6E7D22BE"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Bu tespitler doğrultusunda yargılamalarda belirleyici delil sayılan ByLock verilerinin elde ediliş yöntemi, bütünlüğü ve güvenilirliği konusunda savunmanın etkili itirazda bulunma imk</w:t>
      </w:r>
      <w:r w:rsidR="00C10EE5" w:rsidRPr="00790F05">
        <w:rPr>
          <w:rFonts w:ascii="Palatino Linotype" w:eastAsia="Palatino Linotype" w:hAnsi="Palatino Linotype" w:cs="Palatino Linotype"/>
          <w:color w:val="000000" w:themeColor="text1"/>
          <w:lang w:val="tr-TR"/>
        </w:rPr>
        <w:t>a</w:t>
      </w:r>
      <w:r w:rsidRPr="00790F05">
        <w:rPr>
          <w:rFonts w:ascii="Palatino Linotype" w:eastAsia="Palatino Linotype" w:hAnsi="Palatino Linotype" w:cs="Palatino Linotype"/>
          <w:color w:val="000000" w:themeColor="text1"/>
          <w:lang w:val="tr-TR"/>
        </w:rPr>
        <w:t xml:space="preserve">nının kısıtlandığını saptadığı için ulusal mahkemelerin davanın esasına ilişkin bu teknik itirazları karşılamamış ve savcılık ile savunma arasında adil bir denge kuramamış olduğu gözetilerek verilerin elde ediliş yönteminin hukuka uygunluğunun denetime elverişli şekilde açıklanmasını, özellikle MİT tarafından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yöntemlerle elde edilen verilerin Cumhuriyet savcılığına teslim edildikten sonra alınan CMK 134 kararları veya buna ilişkin tutanakların geçmişe dönük olarak hukuka uygun hale getirilemeyeceğinin ve delilin ilk toplandığı andaki yargısal denetimsizliğin sonradan yapılan işlemlerle telafi edilemeyeceğinin AİHM içtihatları doğrultusunda kabul edilmesini talep ediyoruz (Yalçınkaya §§ 293, 317, 324–341, 327, 331, 332-333, 334, 335-337, 337-339, 344-345).</w:t>
      </w:r>
    </w:p>
    <w:p w14:paraId="012586D1"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MİT’in veri toplama faaliyetinin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nitelikte olduğunu ve CMK m.134’te öngörülen "bağımsız yargısal denetim" güvencelerini içermediğini tespit etmiştir; bu bağlamda istihbarat birimleri tarafından yargısal denetim ve hâkim kararı olmaksızın toplanan verilerin aylar sonra adli makamlara teslim edilmesini ve bu sürecin sonradan alınan CMK m.134 kararlarıyla geçmişe dönük olarak hukuka uygun hale getirilmeye çalışılmasını Sözleşme’nin adil yargılanma güvencelerine aykırı bulmuştur (Yalçınkaya §§ 293, 317, 334). </w:t>
      </w:r>
    </w:p>
    <w:p w14:paraId="1766D9D9" w14:textId="17B1AAF0"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Bu doğrultuda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amaçla toplanan verilerin delil olarak kullanılabilmesi için ilk temas anında yargısal güvencelerin sağlanmış olması gerektiğini belirten Mahkeme içtihatları gözetilerek ByLock verilerinin ilk elde edildiği aşamada yetkili bir hâkim kararı veya yazılı bir emrin bulunup bulunmadığının araştırılmasını, Ankara 4. Sulh Ceza Hâkimliğinin sonradan verdiği kararın delil toplama anındaki denetimsizliği telafi edemeyeceği gerçeği karşısında verilerin elde ediliş yönteminin hukuka uygunluğunun denetime elverişli ve kuşkuya yer bırakmayacak şekilde açıklattırılmasını, Yargıtay’ın aksi yöndeki eski içtihatları yerine bağlayıcı olan AİHM tespitlerinin esas alınmasını ve verilerin elde ediliş yönteminin hukuka uygunluğunun denetime elverişli şekilde açıklanmasını talep ediyoruz (Yalçınkaya §§ 317, 333, 334).</w:t>
      </w:r>
    </w:p>
    <w:p w14:paraId="11D87E51"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AHİM, yargı organlarının ByLock’a yönelik "kategorik ve tekdüze" yaklaşımının kişiye özgü değerlendirmeyi imkânsız kıldığını, sadece savcılık tarafından sunulan raporların hükme esas alınmasının "otomatik cezalandırma" kaygılarını gideremediğini ve savunma haklarını şekli bir prosedüre indirgediğini vurgulamıştır; AİHM OHAL koşullarının dahi bu denli </w:t>
      </w:r>
      <w:proofErr w:type="spellStart"/>
      <w:r w:rsidRPr="00790F05">
        <w:rPr>
          <w:rFonts w:ascii="Palatino Linotype" w:eastAsia="Palatino Linotype" w:hAnsi="Palatino Linotype" w:cs="Palatino Linotype"/>
          <w:color w:val="000000" w:themeColor="text1"/>
          <w:lang w:val="tr-TR"/>
        </w:rPr>
        <w:t>usuli</w:t>
      </w:r>
      <w:proofErr w:type="spellEnd"/>
      <w:r w:rsidRPr="00790F05">
        <w:rPr>
          <w:rFonts w:ascii="Palatino Linotype" w:eastAsia="Palatino Linotype" w:hAnsi="Palatino Linotype" w:cs="Palatino Linotype"/>
          <w:color w:val="000000" w:themeColor="text1"/>
          <w:lang w:val="tr-TR"/>
        </w:rPr>
        <w:t xml:space="preserve"> kısıtlamaları meşrulaştıramayacağını belirtmiştir (Yalçınkaya §§ 324–341, 353–356). </w:t>
      </w:r>
    </w:p>
    <w:p w14:paraId="755368FB" w14:textId="3D19622F"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Bu ihlal gerekçesi doğrultusunda ulusal mahkemelerin "Tespit ve Değerlendirme </w:t>
      </w:r>
      <w:proofErr w:type="spellStart"/>
      <w:r w:rsidRPr="00790F05">
        <w:rPr>
          <w:rFonts w:ascii="Palatino Linotype" w:eastAsia="Palatino Linotype" w:hAnsi="Palatino Linotype" w:cs="Palatino Linotype"/>
          <w:color w:val="000000" w:themeColor="text1"/>
          <w:lang w:val="tr-TR"/>
        </w:rPr>
        <w:t>Tutanakları"nın</w:t>
      </w:r>
      <w:proofErr w:type="spellEnd"/>
      <w:r w:rsidRPr="00790F05">
        <w:rPr>
          <w:rFonts w:ascii="Palatino Linotype" w:eastAsia="Palatino Linotype" w:hAnsi="Palatino Linotype" w:cs="Palatino Linotype"/>
          <w:color w:val="000000" w:themeColor="text1"/>
          <w:lang w:val="tr-TR"/>
        </w:rPr>
        <w:t xml:space="preserve"> veya HTS/CGNAT kayıtlarının ByLock sinyalleriyle örtüşmesini yeterli görerek ham verilerin incelenmesine gerek duymaması kabul görmediği belirtilerek HTS kayıtlarının sadece internet trafiğini gösterdiği, veri içeriğini ve bütünlüğünü kanıtlamadığı vurgulanmış olup delilin güvenilirliğinin ancak tüm veri setinin bağımsız bir gözle incelenmesiyle sağlanabileceği gerçeğinden hareketle yan delillerin veya polis tutanaklarının varlığı savunma makamının ham veriler üzerinde bağımsız bilirkişi incelemesi yaptırma hakkını ortadan kaldırmaz ve aksi bir tutumun silahların eşitliği ilkesinin ihlali anlamına geldiği gözetilerek Emniyet raporlarının kesin hüküm sayılması </w:t>
      </w:r>
      <w:r w:rsidRPr="00790F05">
        <w:rPr>
          <w:rFonts w:ascii="Palatino Linotype" w:eastAsia="Palatino Linotype" w:hAnsi="Palatino Linotype" w:cs="Palatino Linotype"/>
          <w:color w:val="000000" w:themeColor="text1"/>
          <w:lang w:val="tr-TR"/>
        </w:rPr>
        <w:lastRenderedPageBreak/>
        <w:t>yerine savunma tarafına ham veriler üzerinde denetim imkanı verilmesini ve rapor aldırılmasını, MİT’ten temin edilen veriler üzerinde uluslararası standartlara haiz bağımsız ve tarafsız bir adli bilişim bilirkişisi tarafından inceleme yaptırılmasını talep ediyoruz (Yalçınkaya §§ 327, 331, 332-333, 334).</w:t>
      </w:r>
    </w:p>
    <w:p w14:paraId="169F62F5"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MİT tarafından yayınlanan kullanıcı listeleri arasındaki tutarsızlıklar ve soruşturulan kişi sayısı ile indirme sayıları arasındaki farklar (215 bin kullanıcı </w:t>
      </w:r>
      <w:proofErr w:type="spellStart"/>
      <w:r w:rsidRPr="00790F05">
        <w:rPr>
          <w:rFonts w:ascii="Palatino Linotype" w:eastAsia="Palatino Linotype" w:hAnsi="Palatino Linotype" w:cs="Palatino Linotype"/>
          <w:color w:val="000000" w:themeColor="text1"/>
          <w:lang w:val="tr-TR"/>
        </w:rPr>
        <w:t>vs</w:t>
      </w:r>
      <w:proofErr w:type="spellEnd"/>
      <w:r w:rsidRPr="00790F05">
        <w:rPr>
          <w:rFonts w:ascii="Palatino Linotype" w:eastAsia="Palatino Linotype" w:hAnsi="Palatino Linotype" w:cs="Palatino Linotype"/>
          <w:color w:val="000000" w:themeColor="text1"/>
          <w:lang w:val="tr-TR"/>
        </w:rPr>
        <w:t xml:space="preserve"> 102 bin soruşturma) konusundaki savunma itirazlarının mahkemelerce aydınlatılmadığını, savunmanın delilin güvenilirliğini test etme imkânından yoksun bırakılmasının yargılamanın adilliğini sakatladığını tespit etmiştir (Yalçınkaya § 334). </w:t>
      </w:r>
    </w:p>
    <w:p w14:paraId="0B4F83B1" w14:textId="02E141A1"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Bu doğrultuda yerel mahkemelerin sanığın HTS kayıtları ile ByLock sinyallerinin örtüştüğü yönündeki tespiti ham verilerin incelenmesi ihtiyacını ortadan kaldırmaya yetmemektedir; zira HTS kayıtları sadece internet trafiğini gösterir, uygulamanın içeriğini veya kullanım şeklini kanıtlamaz, bu nedenle savunmanın ham veriler üzerinde bilirkişi incelemesi yaptırma talebinin reddinin hak ihlali olduğu kabul edilerek dosyada bulunan HTS/CGNAT kayıtlarının ByLock sinyalleriyle uyumlu olmasının veya polis (KOM) tarafından düzenlenen 'Tespit ve Değerlendirme </w:t>
      </w:r>
      <w:proofErr w:type="spellStart"/>
      <w:r w:rsidRPr="00790F05">
        <w:rPr>
          <w:rFonts w:ascii="Palatino Linotype" w:eastAsia="Palatino Linotype" w:hAnsi="Palatino Linotype" w:cs="Palatino Linotype"/>
          <w:color w:val="000000" w:themeColor="text1"/>
          <w:lang w:val="tr-TR"/>
        </w:rPr>
        <w:t>Tutanakları'nın</w:t>
      </w:r>
      <w:proofErr w:type="spellEnd"/>
      <w:r w:rsidRPr="00790F05">
        <w:rPr>
          <w:rFonts w:ascii="Palatino Linotype" w:eastAsia="Palatino Linotype" w:hAnsi="Palatino Linotype" w:cs="Palatino Linotype"/>
          <w:color w:val="000000" w:themeColor="text1"/>
          <w:lang w:val="tr-TR"/>
        </w:rPr>
        <w:t xml:space="preserve"> varlığının ham verilerin incelenmesi gerekliliğini ortadan kaldırmadığının kabulünü ve MİT’ten temin edilen veriler üzerinde uluslararası standartlara uygun bağımsız ve tarafsız bir adli bilişim bilirkişisi tarafından inceleme yaptırılmasını talep ediyoruz (Yalçınkaya §§ 327, 333).</w:t>
      </w:r>
    </w:p>
    <w:p w14:paraId="44E1252D"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verilerin MİT tarafından elde edildiği an ile adli makamlara teslim edildiği 09/12/2016 tarihi arasında geçen sürede veri bütünlüğünün korunduğuna dair teknik güvencelerin (ilk HASH değeri, zaman damgası vb.) eksik olduğunu saptamış; Hükümetin MİT’in verileri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yöntemlerle topladığına ve bu aşamada yargısal denetime tabi olmadığına dair savunması bu verilerin daha sonra ceza yargılamasında "tek ve belirleyici delil" olarak kullanılması gerçeği karşısında yetersiz kalmıştır (Yalçınkaya §§ 293, 333, 334). </w:t>
      </w:r>
    </w:p>
    <w:p w14:paraId="6AF9257D" w14:textId="508CCEAA"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Bu ihlal gerekçesi doğrultusunda AİHM verilerin adli makamlara tesliminden sonra alınan mahkeme kararlarının (özellikle Ankara 4. Sulh Ceza Hâkimliği kararı) verilerin toplanma aşamasındaki yargısal denetim eksikliğini ve geçmişe dönük belirsizlikleri gideremeyeceğini tespit ettiği için </w:t>
      </w:r>
      <w:proofErr w:type="spellStart"/>
      <w:r w:rsidRPr="00790F05">
        <w:rPr>
          <w:rFonts w:ascii="Palatino Linotype" w:eastAsia="Palatino Linotype" w:hAnsi="Palatino Linotype" w:cs="Palatino Linotype"/>
          <w:color w:val="000000" w:themeColor="text1"/>
          <w:lang w:val="tr-TR"/>
        </w:rPr>
        <w:t>istihbari</w:t>
      </w:r>
      <w:proofErr w:type="spellEnd"/>
      <w:r w:rsidRPr="00790F05">
        <w:rPr>
          <w:rFonts w:ascii="Palatino Linotype" w:eastAsia="Palatino Linotype" w:hAnsi="Palatino Linotype" w:cs="Palatino Linotype"/>
          <w:color w:val="000000" w:themeColor="text1"/>
          <w:lang w:val="tr-TR"/>
        </w:rPr>
        <w:t xml:space="preserve"> amaçla toplanan verilerin delil olarak kullanılmasını eleştirmiş olup verilerin değiştirilmediğini veya bozulmadığını garanti edecek teknik verilerin dosyada bulunmaması savunma hakkını kısıtladığından verilerin ilk hali ile dosyaya giren hali arasındaki tutarlılığın teknik verilerle ispatlanmasını, şayet HASH değerleri karşılaştırılamıyor veya veri bütünlüğü teknik olarak doğrulanamıyorsa şaibeli hale gelen bu verilerin CMK m.217/2 uyarınca hükme esas alınmamasını ve delil listesinden çıkarılmasını talep ediyoruz (Yalçınkaya §§ 317, 334).</w:t>
      </w:r>
    </w:p>
    <w:p w14:paraId="11578388"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savunmanın sadece polis tarafından düzenlenen raporlara erişebilmesini yetersiz bulmuş; "ham verilerin" ve çalışma algoritmasının savunmadan saklanmasını silahların eşitliği ilkesine aykırı bulmuştur, başvuranın ham verilere erişim talebi gerekçe gösterilmeksizin reddedilmiştir (Yalçınkaya §§ 327, 331); AİHM ByLock verilerinin güvenilirliğinin ve bütünlüğünün ancak tüm veri setinin bağımsız bir gözle incelenmesiyle sağlanabileceğini belirtmiştir ve ham verilere erişimin sağlanamadığı durumlarda dahi yargılamada "adil </w:t>
      </w:r>
      <w:proofErr w:type="spellStart"/>
      <w:r w:rsidRPr="00790F05">
        <w:rPr>
          <w:rFonts w:ascii="Palatino Linotype" w:eastAsia="Palatino Linotype" w:hAnsi="Palatino Linotype" w:cs="Palatino Linotype"/>
          <w:color w:val="000000" w:themeColor="text1"/>
          <w:lang w:val="tr-TR"/>
        </w:rPr>
        <w:t>denge"nin</w:t>
      </w:r>
      <w:proofErr w:type="spellEnd"/>
      <w:r w:rsidRPr="00790F05">
        <w:rPr>
          <w:rFonts w:ascii="Palatino Linotype" w:eastAsia="Palatino Linotype" w:hAnsi="Palatino Linotype" w:cs="Palatino Linotype"/>
          <w:color w:val="000000" w:themeColor="text1"/>
          <w:lang w:val="tr-TR"/>
        </w:rPr>
        <w:t xml:space="preserve"> korunabilmesi için sanığa en azından kendisiyle ilgili deşifre edilmiş tüm içeriklere erişim hakkı tanınması gerektiğini vurgulamıştır, ancak bu veriler ya dosyaya çok geç girmiş ya da sanığın içeriklere ilişkin itirazları Yargıtay tarafından dikkate alınmamıştır (Yalçınkaya §§ 332-333, 335-336, 335-337). </w:t>
      </w:r>
    </w:p>
    <w:p w14:paraId="2595AAEF" w14:textId="6468537B"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lastRenderedPageBreak/>
        <w:t>Bu kapsamda yargılamanın en temel ilkelerinden biri olan "silahların eşitliği" ilkesi gereği iddia makamının elinde bulunan delillerin tamamına savunma makamının da aynı koşullarda erişebilmesi gerekmektedir, savunmanın ByLock verilerinin "ham haline" ve "çalışma algoritmasına" erişiminin engellenmesini ve sadece polis tarafından filtrelenmiş raporlarla yetinilmek zorunda bırakılmasını ağır bir ihlal olarak nitelendirdiği için kullanıcı ID, IP eşleşmeleri, log kayıtları ve mesaj içerikleri dâhil olmak üzere iddialara dayanak teşkil eden tüm ham verilerin eksiksiz bir dijital kopyasının tarafımıza tevdi edilmesini, bu verilerin teknik imkansızlıklar nedeniyle verilememesi durumunda ise bu imkansızlığın nedenlerinin mahkemenizce tatmin edici bir gerekçeyle açıklanmasını, şahsıma/eşime/müvekkile ait olduğu iddia edilen tüm çözümlenmiş içeriklerin (mesaj, arama kaydı, mail vb.) eksiksiz olarak tarafımıza teslim edilmesini ve bu içeriklere karşı beyanda bulunma ve savunma yapma hakkımızın kullandırılmasını talep ediyoruz (Yalçınkaya §§ 327, 331, 332-333, 335-336).</w:t>
      </w:r>
    </w:p>
    <w:p w14:paraId="20C5AFE3"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uygulamanın halka açık mağazalardan (Google Play, App </w:t>
      </w:r>
      <w:proofErr w:type="spellStart"/>
      <w:r w:rsidRPr="00790F05">
        <w:rPr>
          <w:rFonts w:ascii="Palatino Linotype" w:eastAsia="Palatino Linotype" w:hAnsi="Palatino Linotype" w:cs="Palatino Linotype"/>
          <w:color w:val="000000" w:themeColor="text1"/>
          <w:lang w:val="tr-TR"/>
        </w:rPr>
        <w:t>Store</w:t>
      </w:r>
      <w:proofErr w:type="spellEnd"/>
      <w:r w:rsidRPr="00790F05">
        <w:rPr>
          <w:rFonts w:ascii="Palatino Linotype" w:eastAsia="Palatino Linotype" w:hAnsi="Palatino Linotype" w:cs="Palatino Linotype"/>
          <w:color w:val="000000" w:themeColor="text1"/>
          <w:lang w:val="tr-TR"/>
        </w:rPr>
        <w:t xml:space="preserve"> vb.) indirilebilir olduğu bir dönemde "münhasırlık" iddiasının zayıfladığını ve indirme sayıları (yaklaşık 600 bin) ile tespit edilen kullanıcı sayıları (102 bin - 215 bin) arasındaki tutarsızlıkların giderilmediğini belirtmiştir; ByLock’un "münhasıran" kullanıldığı iddiası AİHM tarafından sorgulanmış, uygulamanın 2016 başına kadar halka açık uygulama mağazalarından indirilebilir olması münhasırlık tezini zayıflatmaktadır, mahkeme uygulamanın herkesçe erişilebilir olduğu bir dönemde sadece indirme işleminin hiyerarşik yapıya dahil olmayı kanıtlamayacağını vurgulamıştır (Yalçınkaya §§ 334, 337-339, 338-339); "Münhasırlık" iddiası somut teknik verilerle (server kayıtları, indirme istatistikleri vb.) desteklenmemiş, bu iddia MİT raporlarındaki varsayımlara dayandırılmıştır, AİHM Yargıtay’ın "talimatla ağa katılma" kriterini koymasına rağmen somut dosyalarda bu talimatın varlığını araştırmadan hüküm kurmasını eleştirmiştir (Yalçınkaya §§ 338-339). </w:t>
      </w:r>
    </w:p>
    <w:p w14:paraId="4035204F" w14:textId="7CDF6229"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Bu tespitler doğrultusunda yargı organlarının uygulamanın teknik özelliklerinden yola çıkarak "kategorik ve tekdüze" bir varsayımla hareket etmesinin kişisel kusur ilkesini zedelediği gözetilerek münhasırlık iddiasının istihbarat raporlarına dayalı soyut varsayımlarla değil mağaza kayıtları, indirme istatistikleri ve server logları gibi somut teknik verilerle ispatlanmasını, aksi halde bu iddianın sanık aleyhine bir karine olarak kullanılmamasını talep ediyoruz (Yalçınkaya §§ 334, 337-339).</w:t>
      </w:r>
    </w:p>
    <w:p w14:paraId="2A5850EF" w14:textId="77777777" w:rsidR="00F83F01" w:rsidRPr="00790F05" w:rsidRDefault="00F83F01"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lang w:val="tr-TR"/>
        </w:rPr>
        <w:t xml:space="preserve">AİHM, mahkûmiyetlerin temel dayanağının ByLock olduğunu, Bank Asya hesabı, sendika veya dernek üyeliği gibi yan delillerin ise sonucu belirleyici bir etkisi olmadığını tespit etmiştir; mahkeme bu faaliyetlerin suç tarihinde yasal ve hukuka uygun eylemler olduğunu, bunların nasıl bir suçun delili sayıldığının yerel mahkemelerce ikna edici şekilde açıklanamadığını belirtmiştir (Yalçınkaya §§ 242-243. </w:t>
      </w:r>
    </w:p>
    <w:p w14:paraId="1D2BC770" w14:textId="7E9AF766" w:rsidR="00793F3B" w:rsidRPr="00790F05" w:rsidRDefault="00793F3B" w:rsidP="00F83F01">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bookmarkStart w:id="2" w:name="_Hlk219537367"/>
      <w:r w:rsidRPr="00790F05">
        <w:rPr>
          <w:rFonts w:ascii="Palatino Linotype" w:eastAsia="Palatino Linotype" w:hAnsi="Palatino Linotype" w:cs="Palatino Linotype"/>
          <w:color w:val="000000" w:themeColor="text1"/>
        </w:rPr>
        <w:t xml:space="preserve">AİHM'in 6. madde kapsamında verdiği ihlal kararı ve dile getirdiği hususlar dikkate alındığında, ByLock'un CMK'nın 134. maddesinde öngörülen usule uygun şekilde elde edilmediği açıktır. Zira bu madde gereğince, dijital bir delille ilgili arama, el koyma ve imaj alma (kopyalama) yapılabilmesi için başlatılmış olan cezai bir soruşturmanın varlığı ve bu tedbirlere bu soruşturma kapsamında karar verilmesi gerekir; ByLock'ta ise bu süreç tersten işletilmiştir. Herhangi bir soruşturma olmadan ve adli kolluk yetki ve görevi olmayan MİT'in </w:t>
      </w:r>
      <w:proofErr w:type="spellStart"/>
      <w:r w:rsidRPr="00790F05">
        <w:rPr>
          <w:rFonts w:ascii="Palatino Linotype" w:eastAsia="Palatino Linotype" w:hAnsi="Palatino Linotype" w:cs="Palatino Linotype"/>
          <w:color w:val="000000" w:themeColor="text1"/>
        </w:rPr>
        <w:t>istihbari</w:t>
      </w:r>
      <w:proofErr w:type="spellEnd"/>
      <w:r w:rsidRPr="00790F05">
        <w:rPr>
          <w:rFonts w:ascii="Palatino Linotype" w:eastAsia="Palatino Linotype" w:hAnsi="Palatino Linotype" w:cs="Palatino Linotype"/>
          <w:color w:val="000000" w:themeColor="text1"/>
        </w:rPr>
        <w:t xml:space="preserve"> yollarla elde edip üzerinde AİHM'in de belirttiği şekliyle aylarca çalışılan ByLock verileri savcılığa teslim edildiği gün ByLock'la ilgili soruşturma başlatılmıştır. ByLock verileri, bir </w:t>
      </w:r>
      <w:proofErr w:type="gramStart"/>
      <w:r w:rsidRPr="00790F05">
        <w:rPr>
          <w:rFonts w:ascii="Palatino Linotype" w:eastAsia="Palatino Linotype" w:hAnsi="Palatino Linotype" w:cs="Palatino Linotype"/>
          <w:color w:val="000000" w:themeColor="text1"/>
        </w:rPr>
        <w:t>hakim</w:t>
      </w:r>
      <w:proofErr w:type="gramEnd"/>
      <w:r w:rsidRPr="00790F05">
        <w:rPr>
          <w:rFonts w:ascii="Palatino Linotype" w:eastAsia="Palatino Linotype" w:hAnsi="Palatino Linotype" w:cs="Palatino Linotype"/>
          <w:color w:val="000000" w:themeColor="text1"/>
        </w:rPr>
        <w:t xml:space="preserve"> kararına istinaden değil, </w:t>
      </w:r>
      <w:proofErr w:type="spellStart"/>
      <w:r w:rsidRPr="00790F05">
        <w:rPr>
          <w:rFonts w:ascii="Palatino Linotype" w:eastAsia="Palatino Linotype" w:hAnsi="Palatino Linotype" w:cs="Palatino Linotype"/>
          <w:color w:val="000000" w:themeColor="text1"/>
        </w:rPr>
        <w:t>istihbari</w:t>
      </w:r>
      <w:proofErr w:type="spellEnd"/>
      <w:r w:rsidRPr="00790F05">
        <w:rPr>
          <w:rFonts w:ascii="Palatino Linotype" w:eastAsia="Palatino Linotype" w:hAnsi="Palatino Linotype" w:cs="Palatino Linotype"/>
          <w:color w:val="000000" w:themeColor="text1"/>
        </w:rPr>
        <w:t xml:space="preserve"> çalışmayla elde edilmiştir. </w:t>
      </w:r>
      <w:proofErr w:type="gramStart"/>
      <w:r w:rsidRPr="00790F05">
        <w:rPr>
          <w:rFonts w:ascii="Palatino Linotype" w:eastAsia="Palatino Linotype" w:hAnsi="Palatino Linotype" w:cs="Palatino Linotype"/>
          <w:color w:val="000000" w:themeColor="text1"/>
        </w:rPr>
        <w:t>Hakim</w:t>
      </w:r>
      <w:proofErr w:type="gramEnd"/>
      <w:r w:rsidRPr="00790F05">
        <w:rPr>
          <w:rFonts w:ascii="Palatino Linotype" w:eastAsia="Palatino Linotype" w:hAnsi="Palatino Linotype" w:cs="Palatino Linotype"/>
          <w:color w:val="000000" w:themeColor="text1"/>
        </w:rPr>
        <w:t xml:space="preserve"> tarafından verilecek arama kararı üzerine elde edilip el konulması </w:t>
      </w:r>
      <w:r w:rsidRPr="00790F05">
        <w:rPr>
          <w:rFonts w:ascii="Palatino Linotype" w:eastAsia="Palatino Linotype" w:hAnsi="Palatino Linotype" w:cs="Palatino Linotype"/>
          <w:color w:val="000000" w:themeColor="text1"/>
        </w:rPr>
        <w:lastRenderedPageBreak/>
        <w:t xml:space="preserve">gereken ByLock verileri böyle bir karar olmadan ve Litvanya ülkesinde olan veriler bu ülkeyle 6706 sayılı Yasaya uygun şekilde adli yardımlaşma (istinabe) yapılmadan ele geçirilmiştir. CMK'ya aykırı bu elde etme yöntemi nedeniyle, ByLock ile ilgili verilen ilk karar olan Ankara 4. Sulh Ceza Mahkemesinin kararı da arama ve </w:t>
      </w:r>
      <w:proofErr w:type="spellStart"/>
      <w:r w:rsidRPr="00790F05">
        <w:rPr>
          <w:rFonts w:ascii="Palatino Linotype" w:eastAsia="Palatino Linotype" w:hAnsi="Palatino Linotype" w:cs="Palatino Linotype"/>
          <w:color w:val="000000" w:themeColor="text1"/>
        </w:rPr>
        <w:t>elkoymaya</w:t>
      </w:r>
      <w:proofErr w:type="spellEnd"/>
      <w:r w:rsidRPr="00790F05">
        <w:rPr>
          <w:rFonts w:ascii="Palatino Linotype" w:eastAsia="Palatino Linotype" w:hAnsi="Palatino Linotype" w:cs="Palatino Linotype"/>
          <w:color w:val="000000" w:themeColor="text1"/>
        </w:rPr>
        <w:t xml:space="preserve"> ilişkin olmayıp sadece imaj almaya (kopyalama) ilişkindir. Ancak, usulüne uygun şekilde ve </w:t>
      </w:r>
      <w:proofErr w:type="gramStart"/>
      <w:r w:rsidRPr="00790F05">
        <w:rPr>
          <w:rFonts w:ascii="Palatino Linotype" w:eastAsia="Palatino Linotype" w:hAnsi="Palatino Linotype" w:cs="Palatino Linotype"/>
          <w:color w:val="000000" w:themeColor="text1"/>
        </w:rPr>
        <w:t>hakim</w:t>
      </w:r>
      <w:proofErr w:type="gramEnd"/>
      <w:r w:rsidRPr="00790F05">
        <w:rPr>
          <w:rFonts w:ascii="Palatino Linotype" w:eastAsia="Palatino Linotype" w:hAnsi="Palatino Linotype" w:cs="Palatino Linotype"/>
          <w:color w:val="000000" w:themeColor="text1"/>
        </w:rPr>
        <w:t xml:space="preserve"> kararın üzerine yapılmamış bir aramada elde edilen delilin sadece imajının alınmasına </w:t>
      </w:r>
      <w:proofErr w:type="gramStart"/>
      <w:r w:rsidRPr="00790F05">
        <w:rPr>
          <w:rFonts w:ascii="Palatino Linotype" w:eastAsia="Palatino Linotype" w:hAnsi="Palatino Linotype" w:cs="Palatino Linotype"/>
          <w:color w:val="000000" w:themeColor="text1"/>
        </w:rPr>
        <w:t>hakim</w:t>
      </w:r>
      <w:proofErr w:type="gramEnd"/>
      <w:r w:rsidRPr="00790F05">
        <w:rPr>
          <w:rFonts w:ascii="Palatino Linotype" w:eastAsia="Palatino Linotype" w:hAnsi="Palatino Linotype" w:cs="Palatino Linotype"/>
          <w:color w:val="000000" w:themeColor="text1"/>
        </w:rPr>
        <w:t xml:space="preserve"> tarafından karar verilmesi, o delilin elde edilme sürecindeki hukuka aykırılıkları ortadan kaldırmaz. CMK 134. maddenin amacı, göstermelik de olsa bir delilin elde edilmesiyle ilgili sonradan da olsa bir </w:t>
      </w:r>
      <w:proofErr w:type="gramStart"/>
      <w:r w:rsidRPr="00790F05">
        <w:rPr>
          <w:rFonts w:ascii="Palatino Linotype" w:eastAsia="Palatino Linotype" w:hAnsi="Palatino Linotype" w:cs="Palatino Linotype"/>
          <w:color w:val="000000" w:themeColor="text1"/>
        </w:rPr>
        <w:t>hakim</w:t>
      </w:r>
      <w:proofErr w:type="gramEnd"/>
      <w:r w:rsidRPr="00790F05">
        <w:rPr>
          <w:rFonts w:ascii="Palatino Linotype" w:eastAsia="Palatino Linotype" w:hAnsi="Palatino Linotype" w:cs="Palatino Linotype"/>
          <w:color w:val="000000" w:themeColor="text1"/>
        </w:rPr>
        <w:t xml:space="preserve"> kararı bulunması değil, dijital delilin en baştan itibaren öngörülen usule uygun şekilde elde edilmesidir.</w:t>
      </w:r>
    </w:p>
    <w:p w14:paraId="1AA425F3" w14:textId="76AC28A8" w:rsidR="00BC6EAE" w:rsidRPr="00790F05" w:rsidRDefault="00793F3B" w:rsidP="00BC6EAE">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rPr>
        <w:t>Aynı şekilde, ByLock verileri 5809 sayılı Elektronik Haberleşme Kanunu ve bu kanuna dayanarak çıkarılan yönetmeliklerde öngörülen 1 yıllık yasal saklama süresi geçtikten sonra dosyalara dahil edilmiştir; yani normalde imha edilmesi gereken ve artık yasal delil statüsünde olmayan verilere dayalı olarak yargılamalar yapılmaktadır</w:t>
      </w:r>
      <w:r w:rsidRPr="001F67CC">
        <w:rPr>
          <w:rFonts w:ascii="Palatino Linotype" w:eastAsia="Palatino Linotype" w:hAnsi="Palatino Linotype" w:cs="Palatino Linotype"/>
          <w:color w:val="000000" w:themeColor="text1"/>
        </w:rPr>
        <w:t xml:space="preserve">. </w:t>
      </w:r>
      <w:r w:rsidRPr="001F67CC">
        <w:rPr>
          <w:rFonts w:ascii="Palatino Linotype" w:eastAsia="Palatino Linotype" w:hAnsi="Palatino Linotype" w:cs="Palatino Linotype"/>
          <w:color w:val="000000" w:themeColor="text1"/>
          <w:lang w:val="tr-TR"/>
        </w:rPr>
        <w:t>Ankara C. Başsavcılığının aldırdığı bilirkişi raporundan da anlaşılacağı üzere yapısı bozuktur ve orijinal değildir.</w:t>
      </w:r>
      <w:r w:rsidRPr="001F67CC">
        <w:rPr>
          <w:rFonts w:ascii="Palatino Linotype" w:eastAsia="Palatino Linotype" w:hAnsi="Palatino Linotype" w:cs="Palatino Linotype"/>
          <w:color w:val="000000" w:themeColor="text1"/>
        </w:rPr>
        <w:t xml:space="preserve"> Kısaca, AİHM'in ihlal gerekçesinde yer verdiği ve burada söylediğimiz</w:t>
      </w:r>
      <w:r w:rsidRPr="00790F05">
        <w:rPr>
          <w:rFonts w:ascii="Palatino Linotype" w:eastAsia="Palatino Linotype" w:hAnsi="Palatino Linotype" w:cs="Palatino Linotype"/>
          <w:color w:val="000000" w:themeColor="text1"/>
        </w:rPr>
        <w:t xml:space="preserve"> hususlar ByLock'un en başından itibaren hukuka aykırı delil olduğunun göstergesidir. Hukuka aykırı bir delil, CMK gereğince delil olarak kullanılamaz. Hukuka aykırı delil konusunda CMK'nın standardı AİHS standardının çok daha üzerindedir; zira AİHM, delil hukuka aykırı olsa bile bu delilin yargılamanın bütününe etkisine baktığını söylemektedir, CMK'da ise hukuka aykırı delil hiçbir şekilde yargılamada kullanılamaz. </w:t>
      </w:r>
    </w:p>
    <w:p w14:paraId="72CC52B3" w14:textId="2F02E4FC" w:rsidR="00BC6EAE" w:rsidRPr="00790F05" w:rsidRDefault="00BC6EAE" w:rsidP="00BC6EAE">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rPr>
        <w:t>Sonuç olarak AİHM, elektronik delillerin elde edilmesi ve kullanılmasında savunma haklarının gözetilmediği, silahların eşitliği ilkesinin ihlal edildiği ve yargılamanın bir bütün olarak adil olmadığı gerekçesiyle AİHS’in 6/1. maddesinin ihlal edildiğine karar vermiştir (Yalçınkaya §§ 344-345; Demirhan § 46). Bu ihlal gerekçesi doğrultusunda AİHM Yalçınkaya kararında; adil yargılanma hakkı bağlamında tespit edilen savunmanın elektronik delillere erişememesi, delillerin güvenilirliğinin denetlenememesi ve silahların eşitliği ilkesinin ihlali gibi hususların bu dosyalar için de geçerli olduğunu açıkça belirtmiştir. Yeniden yapılacak yargılamada; gerek AİHM'in ihlal tespitleri gerekse yukarıda ayrıntılarıyla yer verdiğimiz hususlar araştırılarak, öncelikle ByLock'un hukuka aykırı delil olduğunun tespitiyle dosyadan çıkarılmasını, delil olarak kabul edilmemesini ve verilecek kararda dikkate alınmamasını; dosyadaki diğer hususlar değerlendirilirken ise Yalçınkaya içtihadında ortaya konulan kriterler uyarınca suç ve cezada şahsilik ilkesi gereği yasal ve rutin faaliyetlere kişiselleştirilmiş somut bir suç kastı ortaya konulmaksızın belirleyici bir ağırlık verilmemesini, bu delillerin tek başına "silahlı terör örgütü üyeliği" suçunun unsurlarını oluşturup oluşturmadığının AİHM’in güncel içtihadı ışığında yeniden değerlendirilmesini ve sonuç olarak verinin yasallığı, bütünlüğü ve güvenilirliği ile münhasırlık iddiası somut teknik verilerle şüpheye yer bırakmayacak şekilde doğrulanmadan AİHM’in Yalçınkaya ve Demirhan kararlarındaki tespitlerine aykırı şekilde ByLock’a dayanılarak hüküm kurulmamasını talep ediyoruz (Yalçınkaya §§ 242-243, 293, 317, 327, 331, 332-333, 334, 335-337, 337-339, 344-345).</w:t>
      </w:r>
    </w:p>
    <w:bookmarkEnd w:id="2"/>
    <w:p w14:paraId="44B0B9EA" w14:textId="2650A54F" w:rsidR="000D5D69" w:rsidRPr="00790F05" w:rsidRDefault="00000000" w:rsidP="00BC6EAE">
      <w:pPr>
        <w:tabs>
          <w:tab w:val="left" w:pos="851"/>
        </w:tabs>
        <w:spacing w:line="23" w:lineRule="atLeast"/>
        <w:ind w:left="360"/>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b/>
          <w:color w:val="000000" w:themeColor="text1"/>
        </w:rPr>
        <w:t>VI. NETİCE</w:t>
      </w:r>
      <w:r w:rsidR="00A74F38" w:rsidRPr="00790F05">
        <w:rPr>
          <w:rFonts w:ascii="Palatino Linotype" w:eastAsia="Palatino Linotype" w:hAnsi="Palatino Linotype" w:cs="Palatino Linotype"/>
          <w:b/>
          <w:color w:val="000000" w:themeColor="text1"/>
        </w:rPr>
        <w:t xml:space="preserve"> VE</w:t>
      </w:r>
      <w:r w:rsidRPr="00790F05">
        <w:rPr>
          <w:rFonts w:ascii="Palatino Linotype" w:eastAsia="Palatino Linotype" w:hAnsi="Palatino Linotype" w:cs="Palatino Linotype"/>
          <w:b/>
          <w:color w:val="000000" w:themeColor="text1"/>
        </w:rPr>
        <w:t xml:space="preserve"> TALEP</w:t>
      </w:r>
    </w:p>
    <w:p w14:paraId="6C410F30" w14:textId="77777777" w:rsidR="000D5D69" w:rsidRPr="00790F05" w:rsidRDefault="00000000" w:rsidP="00BC6EAE">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rPr>
        <w:t xml:space="preserve">AİHM’in Demirhan ve diğerleri kararında </w:t>
      </w:r>
      <w:r w:rsidRPr="00790F05">
        <w:rPr>
          <w:rFonts w:ascii="Palatino Linotype" w:eastAsia="Palatino Linotype" w:hAnsi="Palatino Linotype" w:cs="Palatino Linotype"/>
          <w:color w:val="000000" w:themeColor="text1"/>
          <w:highlight w:val="yellow"/>
        </w:rPr>
        <w:t>şahsımla/eşimle/müvekkiller</w:t>
      </w:r>
      <w:r w:rsidRPr="00790F05">
        <w:rPr>
          <w:rFonts w:ascii="Palatino Linotype" w:eastAsia="Palatino Linotype" w:hAnsi="Palatino Linotype" w:cs="Palatino Linotype"/>
          <w:color w:val="000000" w:themeColor="text1"/>
        </w:rPr>
        <w:t xml:space="preserve"> ilgili AİHS’in 6 ve 7. maddeleri kapsamında verdiği ihlal kararı ve CMK’nın 311/1-f maddesi gereğince yapılan işbu </w:t>
      </w:r>
      <w:r w:rsidRPr="00790F05">
        <w:rPr>
          <w:rFonts w:ascii="Palatino Linotype" w:eastAsia="Palatino Linotype" w:hAnsi="Palatino Linotype" w:cs="Palatino Linotype"/>
          <w:b/>
          <w:color w:val="000000" w:themeColor="text1"/>
        </w:rPr>
        <w:t>yeniden yargılanma talebinin kabulüne,</w:t>
      </w:r>
    </w:p>
    <w:p w14:paraId="20D174BA" w14:textId="77777777" w:rsidR="000D5D69" w:rsidRPr="00790F05" w:rsidRDefault="00000000" w:rsidP="000D5D69">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b/>
          <w:bCs/>
          <w:color w:val="000000" w:themeColor="text1"/>
        </w:rPr>
        <w:lastRenderedPageBreak/>
        <w:t>Yalçınkaya ve Demirhan ve diğerleri</w:t>
      </w:r>
      <w:r w:rsidRPr="00790F05">
        <w:rPr>
          <w:rFonts w:ascii="Palatino Linotype" w:eastAsia="Palatino Linotype" w:hAnsi="Palatino Linotype" w:cs="Palatino Linotype"/>
          <w:color w:val="000000" w:themeColor="text1"/>
        </w:rPr>
        <w:t xml:space="preserve"> kararlarında AİHS’in 6 ve 7. maddeleri kapsamında verdiği ihlal kararının giderilmesi adına mahkemenizden talepte </w:t>
      </w:r>
      <w:r w:rsidRPr="00790F05">
        <w:rPr>
          <w:rFonts w:ascii="Palatino Linotype" w:eastAsia="Palatino Linotype" w:hAnsi="Palatino Linotype" w:cs="Palatino Linotype"/>
          <w:color w:val="000000" w:themeColor="text1"/>
          <w:highlight w:val="yellow"/>
        </w:rPr>
        <w:t>bulunduğum/bulunduğumuz</w:t>
      </w:r>
      <w:r w:rsidRPr="00790F05">
        <w:rPr>
          <w:rFonts w:ascii="Palatino Linotype" w:eastAsia="Palatino Linotype" w:hAnsi="Palatino Linotype" w:cs="Palatino Linotype"/>
          <w:color w:val="000000" w:themeColor="text1"/>
        </w:rPr>
        <w:t xml:space="preserve"> hususlar ile bu kapsamda heyetinizin uygun göreceği hususların araştırılmasına,</w:t>
      </w:r>
    </w:p>
    <w:p w14:paraId="1E09AF56" w14:textId="590F9D70" w:rsidR="003370BA" w:rsidRPr="00790F05" w:rsidRDefault="00000000" w:rsidP="003C7853">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rPr>
        <w:t>Yapılan araştırma neticesinde, ü</w:t>
      </w:r>
      <w:r w:rsidRPr="00790F05">
        <w:rPr>
          <w:rFonts w:ascii="Palatino Linotype" w:eastAsia="Palatino Linotype" w:hAnsi="Palatino Linotype" w:cs="Palatino Linotype"/>
          <w:color w:val="000000" w:themeColor="text1"/>
          <w:highlight w:val="yellow"/>
        </w:rPr>
        <w:t>zerime/Eşimin üzerine/müvekkilin üzerine</w:t>
      </w:r>
      <w:r w:rsidRPr="00790F05">
        <w:rPr>
          <w:rFonts w:ascii="Palatino Linotype" w:eastAsia="Palatino Linotype" w:hAnsi="Palatino Linotype" w:cs="Palatino Linotype"/>
          <w:color w:val="000000" w:themeColor="text1"/>
        </w:rPr>
        <w:t xml:space="preserve"> atılı suçun unsurlarının oluşmadığı ve atılı bu suçu </w:t>
      </w:r>
      <w:r w:rsidRPr="00790F05">
        <w:rPr>
          <w:rFonts w:ascii="Palatino Linotype" w:eastAsia="Palatino Linotype" w:hAnsi="Palatino Linotype" w:cs="Palatino Linotype"/>
          <w:color w:val="000000" w:themeColor="text1"/>
          <w:highlight w:val="yellow"/>
        </w:rPr>
        <w:t>işlediği/işlediğim</w:t>
      </w:r>
      <w:r w:rsidRPr="00790F05">
        <w:rPr>
          <w:rFonts w:ascii="Palatino Linotype" w:eastAsia="Palatino Linotype" w:hAnsi="Palatino Linotype" w:cs="Palatino Linotype"/>
          <w:color w:val="000000" w:themeColor="text1"/>
        </w:rPr>
        <w:t xml:space="preserve"> hususunda cezalandırmaya yeter her türlü şüpheden uzak, kesin ve inandırıcı delil bulunmadığının tespitiyle </w:t>
      </w:r>
      <w:r w:rsidRPr="00790F05">
        <w:rPr>
          <w:rFonts w:ascii="Palatino Linotype" w:eastAsia="Palatino Linotype" w:hAnsi="Palatino Linotype" w:cs="Palatino Linotype"/>
          <w:color w:val="000000" w:themeColor="text1"/>
          <w:highlight w:val="white"/>
        </w:rPr>
        <w:t xml:space="preserve">Anayasa’nın 36, 38, 90, 138,; AİHS’in 6, 7, 46 ve CMK’nın 223/2-a  maddesinde ifadesini bulan </w:t>
      </w:r>
      <w:r w:rsidRPr="00790F05">
        <w:rPr>
          <w:rFonts w:ascii="Palatino Linotype" w:eastAsia="Palatino Linotype" w:hAnsi="Palatino Linotype" w:cs="Palatino Linotype"/>
          <w:b/>
          <w:i/>
          <w:color w:val="000000" w:themeColor="text1"/>
          <w:highlight w:val="white"/>
        </w:rPr>
        <w:t>“yüklenen fiilin kanunda suç olarak tanımlanmamış olması”</w:t>
      </w:r>
      <w:r w:rsidRPr="00790F05">
        <w:rPr>
          <w:rFonts w:ascii="Palatino Linotype" w:eastAsia="Palatino Linotype" w:hAnsi="Palatino Linotype" w:cs="Palatino Linotype"/>
          <w:color w:val="000000" w:themeColor="text1"/>
          <w:highlight w:val="white"/>
        </w:rPr>
        <w:t xml:space="preserve"> gerekçesiyle </w:t>
      </w:r>
      <w:r w:rsidRPr="00790F05">
        <w:rPr>
          <w:rFonts w:ascii="Palatino Linotype" w:eastAsia="Palatino Linotype" w:hAnsi="Palatino Linotype" w:cs="Palatino Linotype"/>
          <w:color w:val="000000" w:themeColor="text1"/>
          <w:highlight w:val="yellow"/>
        </w:rPr>
        <w:t>hakkımda/eşim hakkında/müvekkil hakkında</w:t>
      </w:r>
      <w:r w:rsidRPr="00790F05">
        <w:rPr>
          <w:rFonts w:ascii="Palatino Linotype" w:eastAsia="Palatino Linotype" w:hAnsi="Palatino Linotype" w:cs="Palatino Linotype"/>
          <w:color w:val="000000" w:themeColor="text1"/>
          <w:highlight w:val="white"/>
        </w:rPr>
        <w:t xml:space="preserve"> </w:t>
      </w:r>
      <w:r w:rsidRPr="00790F05">
        <w:rPr>
          <w:rFonts w:ascii="Palatino Linotype" w:eastAsia="Palatino Linotype" w:hAnsi="Palatino Linotype" w:cs="Palatino Linotype"/>
          <w:b/>
          <w:color w:val="000000" w:themeColor="text1"/>
          <w:highlight w:val="yellow"/>
        </w:rPr>
        <w:t xml:space="preserve">BERAAT </w:t>
      </w:r>
      <w:r w:rsidRPr="00790F05">
        <w:rPr>
          <w:rFonts w:ascii="Palatino Linotype" w:eastAsia="Palatino Linotype" w:hAnsi="Palatino Linotype" w:cs="Palatino Linotype"/>
          <w:color w:val="000000" w:themeColor="text1"/>
          <w:highlight w:val="yellow"/>
        </w:rPr>
        <w:t xml:space="preserve">ve </w:t>
      </w:r>
      <w:r w:rsidR="00982F16" w:rsidRPr="00790F05">
        <w:rPr>
          <w:rFonts w:ascii="Palatino Linotype" w:eastAsia="Palatino Linotype" w:hAnsi="Palatino Linotype" w:cs="Palatino Linotype"/>
          <w:color w:val="000000" w:themeColor="text1"/>
          <w:highlight w:val="yellow"/>
        </w:rPr>
        <w:t xml:space="preserve">öncelikle infazın DURDURULMASINA ve sonrasında </w:t>
      </w:r>
      <w:r w:rsidRPr="00790F05">
        <w:rPr>
          <w:rFonts w:ascii="Palatino Linotype" w:eastAsia="Palatino Linotype" w:hAnsi="Palatino Linotype" w:cs="Palatino Linotype"/>
          <w:b/>
          <w:color w:val="000000" w:themeColor="text1"/>
          <w:highlight w:val="yellow"/>
        </w:rPr>
        <w:t>TAHLİYESİNE</w:t>
      </w:r>
      <w:r w:rsidRPr="00790F05">
        <w:rPr>
          <w:rFonts w:ascii="Palatino Linotype" w:eastAsia="Palatino Linotype" w:hAnsi="Palatino Linotype" w:cs="Palatino Linotype"/>
          <w:color w:val="000000" w:themeColor="text1"/>
          <w:highlight w:val="yellow"/>
        </w:rPr>
        <w:t xml:space="preserve"> (sanık tutu</w:t>
      </w:r>
      <w:r w:rsidR="00982F16" w:rsidRPr="00790F05">
        <w:rPr>
          <w:rFonts w:ascii="Palatino Linotype" w:eastAsia="Palatino Linotype" w:hAnsi="Palatino Linotype" w:cs="Palatino Linotype"/>
          <w:color w:val="000000" w:themeColor="text1"/>
          <w:highlight w:val="yellow"/>
        </w:rPr>
        <w:t>k</w:t>
      </w:r>
      <w:r w:rsidRPr="00790F05">
        <w:rPr>
          <w:rFonts w:ascii="Palatino Linotype" w:eastAsia="Palatino Linotype" w:hAnsi="Palatino Linotype" w:cs="Palatino Linotype"/>
          <w:color w:val="000000" w:themeColor="text1"/>
          <w:highlight w:val="yellow"/>
        </w:rPr>
        <w:t>luysa)</w:t>
      </w:r>
      <w:r w:rsidR="003370BA" w:rsidRPr="00790F05">
        <w:rPr>
          <w:rFonts w:ascii="Palatino Linotype" w:eastAsia="Palatino Linotype" w:hAnsi="Palatino Linotype" w:cs="Palatino Linotype"/>
          <w:color w:val="000000" w:themeColor="text1"/>
          <w:highlight w:val="yellow"/>
        </w:rPr>
        <w:t xml:space="preserve">, </w:t>
      </w:r>
      <w:bookmarkStart w:id="3" w:name="_Hlk219537403"/>
      <w:bookmarkStart w:id="4" w:name="_Hlk219537955"/>
      <w:r w:rsidR="003370BA" w:rsidRPr="00790F05">
        <w:rPr>
          <w:rFonts w:ascii="Palatino Linotype" w:eastAsia="Palatino Linotype" w:hAnsi="Palatino Linotype" w:cs="Palatino Linotype"/>
          <w:color w:val="000000" w:themeColor="text1"/>
        </w:rPr>
        <w:t>A</w:t>
      </w:r>
      <w:r w:rsidR="003370BA" w:rsidRPr="00790F05">
        <w:rPr>
          <w:rFonts w:ascii="Palatino Linotype" w:eastAsia="Palatino Linotype" w:hAnsi="Palatino Linotype" w:cs="Palatino Linotype"/>
          <w:color w:val="000000" w:themeColor="text1"/>
          <w:lang w:val="tr-TR"/>
        </w:rPr>
        <w:t>dli Sicil Yönetmeli</w:t>
      </w:r>
      <w:r w:rsidR="0057230F">
        <w:rPr>
          <w:rFonts w:ascii="Palatino Linotype" w:eastAsia="Palatino Linotype" w:hAnsi="Palatino Linotype" w:cs="Palatino Linotype"/>
          <w:color w:val="000000" w:themeColor="text1"/>
          <w:lang w:val="tr-TR"/>
        </w:rPr>
        <w:t>ğ</w:t>
      </w:r>
      <w:r w:rsidR="003370BA" w:rsidRPr="00790F05">
        <w:rPr>
          <w:rFonts w:ascii="Palatino Linotype" w:eastAsia="Palatino Linotype" w:hAnsi="Palatino Linotype" w:cs="Palatino Linotype"/>
          <w:color w:val="000000" w:themeColor="text1"/>
          <w:lang w:val="tr-TR"/>
        </w:rPr>
        <w:t xml:space="preserve">inin 3. ve 13/3. maddesi </w:t>
      </w:r>
      <w:proofErr w:type="spellStart"/>
      <w:r w:rsidR="003370BA" w:rsidRPr="00790F05">
        <w:rPr>
          <w:rFonts w:ascii="Palatino Linotype" w:eastAsia="Palatino Linotype" w:hAnsi="Palatino Linotype" w:cs="Palatino Linotype"/>
          <w:color w:val="000000" w:themeColor="text1"/>
          <w:lang w:val="tr-TR"/>
        </w:rPr>
        <w:t>geregince</w:t>
      </w:r>
      <w:proofErr w:type="spellEnd"/>
      <w:r w:rsidR="003370BA" w:rsidRPr="00790F05">
        <w:rPr>
          <w:rFonts w:ascii="Palatino Linotype" w:eastAsia="Palatino Linotype" w:hAnsi="Palatino Linotype" w:cs="Palatino Linotype"/>
          <w:color w:val="000000" w:themeColor="text1"/>
          <w:lang w:val="tr-TR"/>
        </w:rPr>
        <w:t xml:space="preserve"> tali karar fişi </w:t>
      </w:r>
      <w:r w:rsidR="003370BA" w:rsidRPr="00790F05">
        <w:rPr>
          <w:rFonts w:ascii="Palatino Linotype" w:eastAsia="Palatino Linotype" w:hAnsi="Palatino Linotype" w:cs="Palatino Linotype"/>
          <w:b/>
          <w:bCs/>
          <w:color w:val="000000" w:themeColor="text1"/>
          <w:lang w:val="tr-TR"/>
        </w:rPr>
        <w:t>D</w:t>
      </w:r>
      <w:r w:rsidR="003C7853" w:rsidRPr="00790F05">
        <w:rPr>
          <w:rFonts w:ascii="Palatino Linotype" w:eastAsia="Palatino Linotype" w:hAnsi="Palatino Linotype" w:cs="Palatino Linotype"/>
          <w:b/>
          <w:bCs/>
          <w:color w:val="000000" w:themeColor="text1"/>
          <w:lang w:val="tr-TR"/>
        </w:rPr>
        <w:t>Ü</w:t>
      </w:r>
      <w:r w:rsidR="003370BA" w:rsidRPr="00790F05">
        <w:rPr>
          <w:rFonts w:ascii="Palatino Linotype" w:eastAsia="Palatino Linotype" w:hAnsi="Palatino Linotype" w:cs="Palatino Linotype"/>
          <w:b/>
          <w:bCs/>
          <w:color w:val="000000" w:themeColor="text1"/>
          <w:lang w:val="tr-TR"/>
        </w:rPr>
        <w:t>ZENLENMES</w:t>
      </w:r>
      <w:r w:rsidR="003C7853" w:rsidRPr="00790F05">
        <w:rPr>
          <w:rFonts w:ascii="Palatino Linotype" w:eastAsia="Palatino Linotype" w:hAnsi="Palatino Linotype" w:cs="Palatino Linotype"/>
          <w:b/>
          <w:bCs/>
          <w:color w:val="000000" w:themeColor="text1"/>
          <w:lang w:val="tr-TR"/>
        </w:rPr>
        <w:t>İ</w:t>
      </w:r>
      <w:r w:rsidR="003370BA" w:rsidRPr="00790F05">
        <w:rPr>
          <w:rFonts w:ascii="Palatino Linotype" w:eastAsia="Palatino Linotype" w:hAnsi="Palatino Linotype" w:cs="Palatino Linotype"/>
          <w:b/>
          <w:bCs/>
          <w:color w:val="000000" w:themeColor="text1"/>
          <w:lang w:val="tr-TR"/>
        </w:rPr>
        <w:t>NE,</w:t>
      </w:r>
      <w:r w:rsidR="003370BA" w:rsidRPr="00790F05">
        <w:rPr>
          <w:rFonts w:ascii="Palatino Linotype" w:eastAsia="Palatino Linotype" w:hAnsi="Palatino Linotype" w:cs="Palatino Linotype"/>
          <w:color w:val="000000" w:themeColor="text1"/>
          <w:lang w:val="tr-TR"/>
        </w:rPr>
        <w:t xml:space="preserve"> </w:t>
      </w:r>
      <w:r w:rsidR="003370BA" w:rsidRPr="00790F05">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3370BA" w:rsidRPr="00790F05">
        <w:rPr>
          <w:rFonts w:ascii="Palatino Linotype" w:eastAsia="Palatino Linotype" w:hAnsi="Palatino Linotype" w:cs="Palatino Linotype"/>
          <w:color w:val="000000" w:themeColor="text1"/>
          <w:lang w:val="tr-TR"/>
        </w:rPr>
        <w:t>silinmesi amac</w:t>
      </w:r>
      <w:r w:rsidR="003C7853" w:rsidRPr="00790F05">
        <w:rPr>
          <w:rFonts w:ascii="Palatino Linotype" w:eastAsia="Palatino Linotype" w:hAnsi="Palatino Linotype" w:cs="Palatino Linotype"/>
          <w:color w:val="000000" w:themeColor="text1"/>
          <w:lang w:val="tr-TR"/>
        </w:rPr>
        <w:t>ı</w:t>
      </w:r>
      <w:r w:rsidR="003370BA" w:rsidRPr="00790F05">
        <w:rPr>
          <w:rFonts w:ascii="Palatino Linotype" w:eastAsia="Palatino Linotype" w:hAnsi="Palatino Linotype" w:cs="Palatino Linotype"/>
          <w:color w:val="000000" w:themeColor="text1"/>
          <w:lang w:val="tr-TR"/>
        </w:rPr>
        <w:t>yla ek karar</w:t>
      </w:r>
      <w:r w:rsidR="003C7853" w:rsidRPr="00790F05">
        <w:rPr>
          <w:rFonts w:ascii="Palatino Linotype" w:eastAsia="Palatino Linotype" w:hAnsi="Palatino Linotype" w:cs="Palatino Linotype"/>
          <w:color w:val="000000" w:themeColor="text1"/>
          <w:lang w:val="tr-TR"/>
        </w:rPr>
        <w:t>ı</w:t>
      </w:r>
      <w:r w:rsidR="003370BA" w:rsidRPr="00790F05">
        <w:rPr>
          <w:rFonts w:ascii="Palatino Linotype" w:eastAsia="Palatino Linotype" w:hAnsi="Palatino Linotype" w:cs="Palatino Linotype"/>
          <w:color w:val="000000" w:themeColor="text1"/>
          <w:lang w:val="tr-TR"/>
        </w:rPr>
        <w:t>n ve düzenlenen tali karar fi</w:t>
      </w:r>
      <w:r w:rsidR="003C7853" w:rsidRPr="00790F05">
        <w:rPr>
          <w:rFonts w:ascii="Palatino Linotype" w:eastAsia="Palatino Linotype" w:hAnsi="Palatino Linotype" w:cs="Palatino Linotype"/>
          <w:color w:val="000000" w:themeColor="text1"/>
          <w:lang w:val="tr-TR"/>
        </w:rPr>
        <w:t>ş</w:t>
      </w:r>
      <w:r w:rsidR="003370BA" w:rsidRPr="00790F05">
        <w:rPr>
          <w:rFonts w:ascii="Palatino Linotype" w:eastAsia="Palatino Linotype" w:hAnsi="Palatino Linotype" w:cs="Palatino Linotype"/>
          <w:color w:val="000000" w:themeColor="text1"/>
          <w:lang w:val="tr-TR"/>
        </w:rPr>
        <w:t>inin adli sicil kayd</w:t>
      </w:r>
      <w:r w:rsidR="003C7853" w:rsidRPr="00790F05">
        <w:rPr>
          <w:rFonts w:ascii="Palatino Linotype" w:eastAsia="Palatino Linotype" w:hAnsi="Palatino Linotype" w:cs="Palatino Linotype"/>
          <w:color w:val="000000" w:themeColor="text1"/>
          <w:lang w:val="tr-TR"/>
        </w:rPr>
        <w:t>ı</w:t>
      </w:r>
      <w:r w:rsidR="003370BA" w:rsidRPr="00790F05">
        <w:rPr>
          <w:rFonts w:ascii="Palatino Linotype" w:eastAsia="Palatino Linotype" w:hAnsi="Palatino Linotype" w:cs="Palatino Linotype"/>
          <w:color w:val="000000" w:themeColor="text1"/>
          <w:lang w:val="tr-TR"/>
        </w:rPr>
        <w:t>na i</w:t>
      </w:r>
      <w:r w:rsidR="003C7853" w:rsidRPr="00790F05">
        <w:rPr>
          <w:rFonts w:ascii="Palatino Linotype" w:eastAsia="Palatino Linotype" w:hAnsi="Palatino Linotype" w:cs="Palatino Linotype"/>
          <w:color w:val="000000" w:themeColor="text1"/>
          <w:lang w:val="tr-TR"/>
        </w:rPr>
        <w:t>ş</w:t>
      </w:r>
      <w:r w:rsidR="003370BA" w:rsidRPr="00790F05">
        <w:rPr>
          <w:rFonts w:ascii="Palatino Linotype" w:eastAsia="Palatino Linotype" w:hAnsi="Palatino Linotype" w:cs="Palatino Linotype"/>
          <w:color w:val="000000" w:themeColor="text1"/>
          <w:lang w:val="tr-TR"/>
        </w:rPr>
        <w:t>lenmek üzere Adli Sicil istatistik Müdürlü</w:t>
      </w:r>
      <w:r w:rsidR="0057230F">
        <w:rPr>
          <w:rFonts w:ascii="Palatino Linotype" w:eastAsia="Palatino Linotype" w:hAnsi="Palatino Linotype" w:cs="Palatino Linotype"/>
          <w:color w:val="000000" w:themeColor="text1"/>
          <w:lang w:val="tr-TR"/>
        </w:rPr>
        <w:t>ğ</w:t>
      </w:r>
      <w:r w:rsidR="003370BA" w:rsidRPr="00790F05">
        <w:rPr>
          <w:rFonts w:ascii="Palatino Linotype" w:eastAsia="Palatino Linotype" w:hAnsi="Palatino Linotype" w:cs="Palatino Linotype"/>
          <w:color w:val="000000" w:themeColor="text1"/>
          <w:lang w:val="tr-TR"/>
        </w:rPr>
        <w:t xml:space="preserve">üne </w:t>
      </w:r>
      <w:r w:rsidR="003370BA" w:rsidRPr="00790F05">
        <w:rPr>
          <w:rFonts w:ascii="Palatino Linotype" w:eastAsia="Palatino Linotype" w:hAnsi="Palatino Linotype" w:cs="Palatino Linotype"/>
          <w:b/>
          <w:bCs/>
          <w:color w:val="000000" w:themeColor="text1"/>
          <w:lang w:val="tr-TR"/>
        </w:rPr>
        <w:t>G</w:t>
      </w:r>
      <w:r w:rsidR="003C7853" w:rsidRPr="00790F05">
        <w:rPr>
          <w:rFonts w:ascii="Palatino Linotype" w:eastAsia="Palatino Linotype" w:hAnsi="Palatino Linotype" w:cs="Palatino Linotype"/>
          <w:b/>
          <w:bCs/>
          <w:color w:val="000000" w:themeColor="text1"/>
          <w:lang w:val="tr-TR"/>
        </w:rPr>
        <w:t>Ö</w:t>
      </w:r>
      <w:r w:rsidR="003370BA" w:rsidRPr="00790F05">
        <w:rPr>
          <w:rFonts w:ascii="Palatino Linotype" w:eastAsia="Palatino Linotype" w:hAnsi="Palatino Linotype" w:cs="Palatino Linotype"/>
          <w:b/>
          <w:bCs/>
          <w:color w:val="000000" w:themeColor="text1"/>
          <w:lang w:val="tr-TR"/>
        </w:rPr>
        <w:t>NDER</w:t>
      </w:r>
      <w:r w:rsidR="003C7853" w:rsidRPr="00790F05">
        <w:rPr>
          <w:rFonts w:ascii="Palatino Linotype" w:eastAsia="Palatino Linotype" w:hAnsi="Palatino Linotype" w:cs="Palatino Linotype"/>
          <w:b/>
          <w:bCs/>
          <w:color w:val="000000" w:themeColor="text1"/>
          <w:lang w:val="tr-TR"/>
        </w:rPr>
        <w:t>İ</w:t>
      </w:r>
      <w:r w:rsidR="003370BA" w:rsidRPr="00790F05">
        <w:rPr>
          <w:rFonts w:ascii="Palatino Linotype" w:eastAsia="Palatino Linotype" w:hAnsi="Palatino Linotype" w:cs="Palatino Linotype"/>
          <w:b/>
          <w:bCs/>
          <w:color w:val="000000" w:themeColor="text1"/>
          <w:lang w:val="tr-TR"/>
        </w:rPr>
        <w:t>LMES</w:t>
      </w:r>
      <w:r w:rsidR="003C7853" w:rsidRPr="00790F05">
        <w:rPr>
          <w:rFonts w:ascii="Palatino Linotype" w:eastAsia="Palatino Linotype" w:hAnsi="Palatino Linotype" w:cs="Palatino Linotype"/>
          <w:b/>
          <w:bCs/>
          <w:color w:val="000000" w:themeColor="text1"/>
          <w:lang w:val="tr-TR"/>
        </w:rPr>
        <w:t>İ</w:t>
      </w:r>
      <w:r w:rsidR="003370BA" w:rsidRPr="00790F05">
        <w:rPr>
          <w:rFonts w:ascii="Palatino Linotype" w:eastAsia="Palatino Linotype" w:hAnsi="Palatino Linotype" w:cs="Palatino Linotype"/>
          <w:b/>
          <w:bCs/>
          <w:color w:val="000000" w:themeColor="text1"/>
          <w:lang w:val="tr-TR"/>
        </w:rPr>
        <w:t>NE,</w:t>
      </w:r>
      <w:r w:rsidR="003370BA" w:rsidRPr="00790F05">
        <w:rPr>
          <w:rFonts w:ascii="Palatino Linotype" w:eastAsia="Palatino Linotype" w:hAnsi="Palatino Linotype" w:cs="Palatino Linotype"/>
          <w:color w:val="000000" w:themeColor="text1"/>
          <w:lang w:val="tr-TR"/>
        </w:rPr>
        <w:t xml:space="preserve">                                                                       </w:t>
      </w:r>
      <w:r w:rsidR="003C7853" w:rsidRPr="00790F05">
        <w:rPr>
          <w:rFonts w:ascii="Palatino Linotype" w:eastAsia="Palatino Linotype" w:hAnsi="Palatino Linotype" w:cs="Palatino Linotype"/>
          <w:color w:val="000000" w:themeColor="text1"/>
          <w:lang w:val="tr-TR"/>
        </w:rPr>
        <w:t>i</w:t>
      </w:r>
      <w:r w:rsidR="003370BA" w:rsidRPr="00790F05">
        <w:rPr>
          <w:rFonts w:ascii="Palatino Linotype" w:eastAsia="Palatino Linotype" w:hAnsi="Palatino Linotype" w:cs="Palatino Linotype"/>
          <w:color w:val="000000" w:themeColor="text1"/>
          <w:lang w:val="tr-TR"/>
        </w:rPr>
        <w:t>nfaz evraklar</w:t>
      </w:r>
      <w:r w:rsidR="0057230F">
        <w:rPr>
          <w:rFonts w:ascii="Palatino Linotype" w:eastAsia="Palatino Linotype" w:hAnsi="Palatino Linotype" w:cs="Palatino Linotype"/>
          <w:color w:val="000000" w:themeColor="text1"/>
          <w:lang w:val="tr-TR"/>
        </w:rPr>
        <w:t>ı</w:t>
      </w:r>
      <w:r w:rsidR="003370BA" w:rsidRPr="00790F05">
        <w:rPr>
          <w:rFonts w:ascii="Palatino Linotype" w:eastAsia="Palatino Linotype" w:hAnsi="Palatino Linotype" w:cs="Palatino Linotype"/>
          <w:color w:val="000000" w:themeColor="text1"/>
          <w:lang w:val="tr-TR"/>
        </w:rPr>
        <w:t>n</w:t>
      </w:r>
      <w:proofErr w:type="spellStart"/>
      <w:r w:rsidR="003C7853" w:rsidRPr="00790F05">
        <w:rPr>
          <w:rFonts w:ascii="Palatino Linotype" w:eastAsia="Palatino Linotype" w:hAnsi="Palatino Linotype" w:cs="Palatino Linotype"/>
          <w:color w:val="000000" w:themeColor="text1"/>
        </w:rPr>
        <w:t>ı</w:t>
      </w:r>
      <w:r w:rsidR="003370BA" w:rsidRPr="00790F05">
        <w:rPr>
          <w:rFonts w:ascii="Palatino Linotype" w:eastAsia="Palatino Linotype" w:hAnsi="Palatino Linotype" w:cs="Palatino Linotype"/>
          <w:color w:val="000000" w:themeColor="text1"/>
        </w:rPr>
        <w:t>n</w:t>
      </w:r>
      <w:proofErr w:type="spellEnd"/>
      <w:r w:rsidR="003370BA" w:rsidRPr="00790F05">
        <w:rPr>
          <w:rFonts w:ascii="Palatino Linotype" w:eastAsia="Palatino Linotype" w:hAnsi="Palatino Linotype" w:cs="Palatino Linotype"/>
          <w:color w:val="000000" w:themeColor="text1"/>
          <w:lang w:val="tr-TR"/>
        </w:rPr>
        <w:t xml:space="preserve"> i</w:t>
      </w:r>
      <w:r w:rsidR="003C7853" w:rsidRPr="00790F05">
        <w:rPr>
          <w:rFonts w:ascii="Palatino Linotype" w:eastAsia="Palatino Linotype" w:hAnsi="Palatino Linotype" w:cs="Palatino Linotype"/>
          <w:color w:val="000000" w:themeColor="text1"/>
          <w:lang w:val="tr-TR"/>
        </w:rPr>
        <w:t>ş</w:t>
      </w:r>
      <w:r w:rsidR="003370BA" w:rsidRPr="00790F05">
        <w:rPr>
          <w:rFonts w:ascii="Palatino Linotype" w:eastAsia="Palatino Linotype" w:hAnsi="Palatino Linotype" w:cs="Palatino Linotype"/>
          <w:color w:val="000000" w:themeColor="text1"/>
          <w:lang w:val="tr-TR"/>
        </w:rPr>
        <w:t>lemsiz olarak mahkemenize gönderilmesi i</w:t>
      </w:r>
      <w:r w:rsidR="003C7853" w:rsidRPr="00790F05">
        <w:rPr>
          <w:rFonts w:ascii="Palatino Linotype" w:eastAsia="Palatino Linotype" w:hAnsi="Palatino Linotype" w:cs="Palatino Linotype"/>
          <w:color w:val="000000" w:themeColor="text1"/>
          <w:lang w:val="tr-TR"/>
        </w:rPr>
        <w:t>ç</w:t>
      </w:r>
      <w:r w:rsidR="003370BA" w:rsidRPr="00790F05">
        <w:rPr>
          <w:rFonts w:ascii="Palatino Linotype" w:eastAsia="Palatino Linotype" w:hAnsi="Palatino Linotype" w:cs="Palatino Linotype"/>
          <w:color w:val="000000" w:themeColor="text1"/>
          <w:lang w:val="tr-TR"/>
        </w:rPr>
        <w:t>in</w:t>
      </w:r>
      <w:r w:rsidR="003C7853" w:rsidRPr="00790F05">
        <w:rPr>
          <w:rFonts w:ascii="Palatino Linotype" w:eastAsia="Palatino Linotype" w:hAnsi="Palatino Linotype" w:cs="Palatino Linotype"/>
          <w:color w:val="000000" w:themeColor="text1"/>
          <w:lang w:val="tr-TR"/>
        </w:rPr>
        <w:t xml:space="preserve"> </w:t>
      </w:r>
      <w:r w:rsidR="003370BA" w:rsidRPr="00790F05">
        <w:rPr>
          <w:rFonts w:ascii="Palatino Linotype" w:eastAsia="Palatino Linotype" w:hAnsi="Palatino Linotype" w:cs="Palatino Linotype"/>
          <w:color w:val="000000" w:themeColor="text1"/>
          <w:lang w:val="tr-TR"/>
        </w:rPr>
        <w:t>Cumhuriyet Ba</w:t>
      </w:r>
      <w:r w:rsidR="003C7853" w:rsidRPr="00790F05">
        <w:rPr>
          <w:rFonts w:ascii="Palatino Linotype" w:eastAsia="Palatino Linotype" w:hAnsi="Palatino Linotype" w:cs="Palatino Linotype"/>
          <w:color w:val="000000" w:themeColor="text1"/>
          <w:lang w:val="tr-TR"/>
        </w:rPr>
        <w:t>ş</w:t>
      </w:r>
      <w:r w:rsidR="003370BA" w:rsidRPr="00790F05">
        <w:rPr>
          <w:rFonts w:ascii="Palatino Linotype" w:eastAsia="Palatino Linotype" w:hAnsi="Palatino Linotype" w:cs="Palatino Linotype"/>
          <w:color w:val="000000" w:themeColor="text1"/>
          <w:lang w:val="tr-TR"/>
        </w:rPr>
        <w:t>savc</w:t>
      </w:r>
      <w:r w:rsidR="003C7853" w:rsidRPr="00790F05">
        <w:rPr>
          <w:rFonts w:ascii="Palatino Linotype" w:eastAsia="Palatino Linotype" w:hAnsi="Palatino Linotype" w:cs="Palatino Linotype"/>
          <w:color w:val="000000" w:themeColor="text1"/>
          <w:lang w:val="tr-TR"/>
        </w:rPr>
        <w:t>ılığına</w:t>
      </w:r>
      <w:r w:rsidR="003370BA" w:rsidRPr="00790F05">
        <w:rPr>
          <w:rFonts w:ascii="Palatino Linotype" w:eastAsia="Palatino Linotype" w:hAnsi="Palatino Linotype" w:cs="Palatino Linotype"/>
          <w:color w:val="000000" w:themeColor="text1"/>
          <w:lang w:val="tr-TR"/>
        </w:rPr>
        <w:t xml:space="preserve"> </w:t>
      </w:r>
      <w:r w:rsidR="003370BA" w:rsidRPr="00790F05">
        <w:rPr>
          <w:rFonts w:ascii="Palatino Linotype" w:eastAsia="Palatino Linotype" w:hAnsi="Palatino Linotype" w:cs="Palatino Linotype"/>
          <w:b/>
          <w:bCs/>
          <w:color w:val="000000" w:themeColor="text1"/>
          <w:lang w:val="tr-TR"/>
        </w:rPr>
        <w:t>MÜZEKKERE YAZILMASINA,</w:t>
      </w:r>
    </w:p>
    <w:bookmarkEnd w:id="3"/>
    <w:p w14:paraId="000000BE" w14:textId="625CAA98" w:rsidR="009E0554" w:rsidRPr="00790F05" w:rsidRDefault="00000000" w:rsidP="000D5D69">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790F05">
        <w:rPr>
          <w:rFonts w:ascii="Palatino Linotype" w:eastAsia="Palatino Linotype" w:hAnsi="Palatino Linotype" w:cs="Palatino Linotype"/>
          <w:color w:val="000000" w:themeColor="text1"/>
          <w:highlight w:val="white"/>
        </w:rPr>
        <w:t xml:space="preserve"> </w:t>
      </w:r>
      <w:r w:rsidR="00C83723" w:rsidRPr="00790F05">
        <w:rPr>
          <w:rFonts w:ascii="Palatino Linotype" w:eastAsia="Palatino Linotype" w:hAnsi="Palatino Linotype" w:cs="Palatino Linotype"/>
          <w:color w:val="000000" w:themeColor="text1"/>
          <w:highlight w:val="white"/>
        </w:rPr>
        <w:t>K</w:t>
      </w:r>
      <w:r w:rsidRPr="00790F05">
        <w:rPr>
          <w:rFonts w:ascii="Palatino Linotype" w:eastAsia="Palatino Linotype" w:hAnsi="Palatino Linotype" w:cs="Palatino Linotype"/>
          <w:color w:val="000000" w:themeColor="text1"/>
          <w:highlight w:val="white"/>
        </w:rPr>
        <w:t>arar verilmesini,</w:t>
      </w:r>
    </w:p>
    <w:bookmarkEnd w:id="4"/>
    <w:p w14:paraId="023B152F" w14:textId="4521D7BE" w:rsidR="007A2F3F" w:rsidRPr="00790F05" w:rsidRDefault="00000000" w:rsidP="00F83F01">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r w:rsidRPr="00790F05">
        <w:rPr>
          <w:rFonts w:ascii="Palatino Linotype" w:eastAsia="Palatino Linotype" w:hAnsi="Palatino Linotype" w:cs="Palatino Linotype"/>
          <w:color w:val="000000" w:themeColor="text1"/>
          <w:highlight w:val="white"/>
        </w:rPr>
        <w:t xml:space="preserve">Saygılarımla arz ve </w:t>
      </w:r>
      <w:r w:rsidRPr="00790F05">
        <w:rPr>
          <w:rFonts w:ascii="Palatino Linotype" w:eastAsia="Palatino Linotype" w:hAnsi="Palatino Linotype" w:cs="Palatino Linotype"/>
          <w:color w:val="000000" w:themeColor="text1"/>
          <w:highlight w:val="yellow"/>
        </w:rPr>
        <w:t>talep ederim/ederiz.</w:t>
      </w:r>
      <w:r w:rsidRPr="00790F05">
        <w:rPr>
          <w:rFonts w:ascii="Palatino Linotype" w:eastAsia="Palatino Linotype" w:hAnsi="Palatino Linotype" w:cs="Palatino Linotype"/>
          <w:color w:val="000000" w:themeColor="text1"/>
          <w:highlight w:val="white"/>
        </w:rPr>
        <w:t xml:space="preserve">  </w:t>
      </w:r>
      <w:proofErr w:type="gramStart"/>
      <w:r w:rsidRPr="00790F05">
        <w:rPr>
          <w:rFonts w:ascii="Palatino Linotype" w:eastAsia="Palatino Linotype" w:hAnsi="Palatino Linotype" w:cs="Palatino Linotype"/>
          <w:b/>
          <w:color w:val="000000" w:themeColor="text1"/>
          <w:highlight w:val="white"/>
        </w:rPr>
        <w:t>…../….</w:t>
      </w:r>
      <w:proofErr w:type="gramEnd"/>
      <w:r w:rsidRPr="00790F05">
        <w:rPr>
          <w:rFonts w:ascii="Palatino Linotype" w:eastAsia="Palatino Linotype" w:hAnsi="Palatino Linotype" w:cs="Palatino Linotype"/>
          <w:b/>
          <w:color w:val="000000" w:themeColor="text1"/>
          <w:highlight w:val="white"/>
        </w:rPr>
        <w:t>/202</w:t>
      </w:r>
      <w:r w:rsidR="001A2DBB" w:rsidRPr="00790F05">
        <w:rPr>
          <w:rFonts w:ascii="Palatino Linotype" w:eastAsia="Palatino Linotype" w:hAnsi="Palatino Linotype" w:cs="Palatino Linotype"/>
          <w:b/>
          <w:color w:val="000000" w:themeColor="text1"/>
          <w:highlight w:val="white"/>
        </w:rPr>
        <w:t>6</w:t>
      </w:r>
    </w:p>
    <w:p w14:paraId="4633D9C5" w14:textId="77777777" w:rsidR="00F83F01" w:rsidRPr="00790F05" w:rsidRDefault="00F83F01" w:rsidP="00F83F01">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p>
    <w:p w14:paraId="66EB327A" w14:textId="5B5D0E40" w:rsidR="007A2F3F" w:rsidRPr="00790F05" w:rsidRDefault="00000000" w:rsidP="00352475">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t xml:space="preserve">       </w:t>
      </w:r>
      <w:r w:rsidRPr="00790F05">
        <w:rPr>
          <w:rFonts w:ascii="Palatino Linotype" w:eastAsia="Palatino Linotype" w:hAnsi="Palatino Linotype" w:cs="Palatino Linotype"/>
          <w:color w:val="000000" w:themeColor="text1"/>
          <w:highlight w:val="yellow"/>
        </w:rPr>
        <w:t xml:space="preserve"> Hükümlü/Eşi/</w:t>
      </w:r>
      <w:proofErr w:type="spellStart"/>
      <w:r w:rsidRPr="00790F05">
        <w:rPr>
          <w:rFonts w:ascii="Palatino Linotype" w:eastAsia="Palatino Linotype" w:hAnsi="Palatino Linotype" w:cs="Palatino Linotype"/>
          <w:color w:val="000000" w:themeColor="text1"/>
          <w:highlight w:val="yellow"/>
        </w:rPr>
        <w:t>Müdafii</w:t>
      </w:r>
      <w:proofErr w:type="spellEnd"/>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Pr="00790F05">
        <w:rPr>
          <w:rFonts w:ascii="Palatino Linotype" w:eastAsia="Palatino Linotype" w:hAnsi="Palatino Linotype" w:cs="Palatino Linotype"/>
          <w:color w:val="000000" w:themeColor="text1"/>
          <w:highlight w:val="white"/>
        </w:rPr>
        <w:tab/>
      </w:r>
      <w:r w:rsidR="000D5D69" w:rsidRPr="00790F05">
        <w:rPr>
          <w:rFonts w:ascii="Palatino Linotype" w:eastAsia="Palatino Linotype" w:hAnsi="Palatino Linotype" w:cs="Palatino Linotype"/>
          <w:color w:val="000000" w:themeColor="text1"/>
          <w:highlight w:val="white"/>
        </w:rPr>
        <w:t xml:space="preserve">                    </w:t>
      </w:r>
      <w:r w:rsidRPr="00790F05">
        <w:rPr>
          <w:rFonts w:ascii="Palatino Linotype" w:eastAsia="Palatino Linotype" w:hAnsi="Palatino Linotype" w:cs="Palatino Linotype"/>
          <w:color w:val="000000" w:themeColor="text1"/>
          <w:highlight w:val="white"/>
        </w:rPr>
        <w:t>İmz</w:t>
      </w:r>
      <w:r w:rsidR="00352475" w:rsidRPr="00790F05">
        <w:rPr>
          <w:rFonts w:ascii="Palatino Linotype" w:eastAsia="Palatino Linotype" w:hAnsi="Palatino Linotype" w:cs="Palatino Linotype"/>
          <w:color w:val="000000" w:themeColor="text1"/>
          <w:highlight w:val="white"/>
        </w:rPr>
        <w:t>a</w:t>
      </w:r>
    </w:p>
    <w:p w14:paraId="000000C5" w14:textId="77777777" w:rsidR="009E0554" w:rsidRPr="00790F05"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b/>
          <w:color w:val="000000" w:themeColor="text1"/>
          <w:highlight w:val="white"/>
          <w:u w:val="single"/>
        </w:rPr>
      </w:pPr>
      <w:r w:rsidRPr="00790F05">
        <w:rPr>
          <w:rFonts w:ascii="Palatino Linotype" w:eastAsia="Palatino Linotype" w:hAnsi="Palatino Linotype" w:cs="Palatino Linotype"/>
          <w:b/>
          <w:color w:val="000000" w:themeColor="text1"/>
          <w:highlight w:val="white"/>
          <w:u w:val="single"/>
        </w:rPr>
        <w:t>EK’LER</w:t>
      </w:r>
    </w:p>
    <w:p w14:paraId="000000C6" w14:textId="77777777" w:rsidR="009E0554" w:rsidRPr="00790F05"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Nüfus Aile Kayıt Örneği, </w:t>
      </w:r>
    </w:p>
    <w:p w14:paraId="000000C7" w14:textId="77777777" w:rsidR="009E0554" w:rsidRPr="00790F05"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T.C. Kimlik Fotokopisi,</w:t>
      </w:r>
    </w:p>
    <w:p w14:paraId="000000C8" w14:textId="64D88872" w:rsidR="009E0554" w:rsidRDefault="00000000" w:rsidP="006A41BF">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sidRPr="00790F05">
        <w:rPr>
          <w:rFonts w:ascii="Palatino Linotype" w:eastAsia="Palatino Linotype" w:hAnsi="Palatino Linotype" w:cs="Palatino Linotype"/>
          <w:color w:val="000000" w:themeColor="text1"/>
        </w:rPr>
        <w:t xml:space="preserve">AİHM’in Demirhan ve Diğerleri/Türkiye Kararının </w:t>
      </w:r>
      <w:proofErr w:type="spellStart"/>
      <w:r w:rsidR="00DA283E" w:rsidRPr="00790F05">
        <w:rPr>
          <w:rFonts w:ascii="Palatino Linotype" w:eastAsia="Palatino Linotype" w:hAnsi="Palatino Linotype" w:cs="Palatino Linotype"/>
          <w:color w:val="000000" w:themeColor="text1"/>
        </w:rPr>
        <w:t>HUDOC’ta</w:t>
      </w:r>
      <w:proofErr w:type="spellEnd"/>
      <w:r w:rsidR="00DA283E" w:rsidRPr="00790F05">
        <w:rPr>
          <w:rFonts w:ascii="Palatino Linotype" w:eastAsia="Palatino Linotype" w:hAnsi="Palatino Linotype" w:cs="Palatino Linotype"/>
          <w:color w:val="000000" w:themeColor="text1"/>
        </w:rPr>
        <w:t xml:space="preserve"> yayımlanan </w:t>
      </w:r>
      <w:r w:rsidRPr="00790F05">
        <w:rPr>
          <w:rFonts w:ascii="Palatino Linotype" w:eastAsia="Palatino Linotype" w:hAnsi="Palatino Linotype" w:cs="Palatino Linotype"/>
          <w:color w:val="000000" w:themeColor="text1"/>
        </w:rPr>
        <w:t>Türkçe Çevirisi</w:t>
      </w:r>
      <w:r w:rsidR="00593F88" w:rsidRPr="00790F05">
        <w:rPr>
          <w:rFonts w:ascii="Palatino Linotype" w:eastAsia="Palatino Linotype" w:hAnsi="Palatino Linotype" w:cs="Palatino Linotype"/>
          <w:color w:val="000000" w:themeColor="text1"/>
        </w:rPr>
        <w:t>,</w:t>
      </w:r>
    </w:p>
    <w:p w14:paraId="0CA99364" w14:textId="232D7F8A" w:rsidR="001F67CC" w:rsidRPr="001F67CC" w:rsidRDefault="001F67CC" w:rsidP="001F67CC">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Pr>
          <w:rFonts w:ascii="Palatino Linotype" w:eastAsia="Palatino Linotype" w:hAnsi="Palatino Linotype" w:cs="Palatino Linotype"/>
          <w:color w:val="000000" w:themeColor="text1"/>
        </w:rPr>
        <w:t>Yasak/Türkiye Büyük Daire karar özeti</w:t>
      </w:r>
      <w:r w:rsidR="0057230F">
        <w:rPr>
          <w:rFonts w:ascii="Palatino Linotype" w:eastAsia="Palatino Linotype" w:hAnsi="Palatino Linotype" w:cs="Palatino Linotype"/>
          <w:color w:val="000000" w:themeColor="text1"/>
        </w:rPr>
        <w:t>.</w:t>
      </w:r>
    </w:p>
    <w:p w14:paraId="000000CA" w14:textId="77777777" w:rsidR="009E0554" w:rsidRPr="00790F05" w:rsidRDefault="009E0554" w:rsidP="00B763D9">
      <w:pPr>
        <w:pBdr>
          <w:top w:val="nil"/>
          <w:left w:val="nil"/>
          <w:bottom w:val="nil"/>
          <w:right w:val="nil"/>
          <w:between w:val="nil"/>
        </w:pBdr>
        <w:spacing w:line="23" w:lineRule="atLeast"/>
        <w:jc w:val="both"/>
        <w:rPr>
          <w:rFonts w:ascii="Palatino Linotype" w:eastAsia="Palatino Linotype" w:hAnsi="Palatino Linotype" w:cs="Palatino Linotype"/>
          <w:color w:val="000000" w:themeColor="text1"/>
          <w:sz w:val="24"/>
          <w:szCs w:val="24"/>
          <w:highlight w:val="white"/>
        </w:rPr>
      </w:pPr>
    </w:p>
    <w:p w14:paraId="000000CC" w14:textId="2D75385B" w:rsidR="009E0554" w:rsidRPr="00790F05" w:rsidRDefault="00000000" w:rsidP="006A41BF">
      <w:pPr>
        <w:pBdr>
          <w:top w:val="nil"/>
          <w:left w:val="nil"/>
          <w:bottom w:val="nil"/>
          <w:right w:val="nil"/>
          <w:between w:val="nil"/>
        </w:pBdr>
        <w:spacing w:line="23" w:lineRule="atLeast"/>
        <w:jc w:val="both"/>
        <w:rPr>
          <w:rFonts w:ascii="Palatino Linotype" w:eastAsia="Palatino Linotype" w:hAnsi="Palatino Linotype" w:cs="Palatino Linotype"/>
          <w:color w:val="000000" w:themeColor="text1"/>
          <w:sz w:val="24"/>
          <w:szCs w:val="24"/>
        </w:rPr>
      </w:pPr>
      <w:r w:rsidRPr="00790F05">
        <w:rPr>
          <w:rFonts w:ascii="Palatino Linotype" w:eastAsia="Palatino Linotype" w:hAnsi="Palatino Linotype" w:cs="Palatino Linotype"/>
          <w:b/>
          <w:color w:val="000000" w:themeColor="text1"/>
          <w:sz w:val="24"/>
          <w:szCs w:val="24"/>
          <w:highlight w:val="white"/>
        </w:rPr>
        <w:t>Dikkat:</w:t>
      </w:r>
      <w:r w:rsidRPr="00790F05">
        <w:rPr>
          <w:rFonts w:ascii="Palatino Linotype" w:eastAsia="Palatino Linotype" w:hAnsi="Palatino Linotype" w:cs="Palatino Linotype"/>
          <w:color w:val="000000" w:themeColor="text1"/>
          <w:sz w:val="24"/>
          <w:szCs w:val="24"/>
          <w:highlight w:val="white"/>
        </w:rPr>
        <w:t xml:space="preserve"> </w:t>
      </w:r>
      <w:r w:rsidRPr="00790F05">
        <w:rPr>
          <w:rFonts w:ascii="Palatino Linotype" w:eastAsia="Palatino Linotype" w:hAnsi="Palatino Linotype" w:cs="Palatino Linotype"/>
          <w:color w:val="000000" w:themeColor="text1"/>
          <w:sz w:val="24"/>
          <w:szCs w:val="24"/>
          <w:highlight w:val="yellow"/>
        </w:rPr>
        <w:t>Eşlerin 1 ve 2 numaralı belgeleri eklemeleri, başvuru yapan herkesin</w:t>
      </w:r>
      <w:r w:rsidR="00593F88" w:rsidRPr="00790F05">
        <w:rPr>
          <w:rFonts w:ascii="Palatino Linotype" w:eastAsia="Palatino Linotype" w:hAnsi="Palatino Linotype" w:cs="Palatino Linotype"/>
          <w:color w:val="000000" w:themeColor="text1"/>
          <w:sz w:val="24"/>
          <w:szCs w:val="24"/>
          <w:highlight w:val="yellow"/>
        </w:rPr>
        <w:t xml:space="preserve"> de</w:t>
      </w:r>
      <w:r w:rsidRPr="00790F05">
        <w:rPr>
          <w:rFonts w:ascii="Palatino Linotype" w:eastAsia="Palatino Linotype" w:hAnsi="Palatino Linotype" w:cs="Palatino Linotype"/>
          <w:color w:val="000000" w:themeColor="text1"/>
          <w:sz w:val="24"/>
          <w:szCs w:val="24"/>
          <w:highlight w:val="yellow"/>
        </w:rPr>
        <w:t xml:space="preserve"> 3</w:t>
      </w:r>
      <w:r w:rsidR="00593F88" w:rsidRPr="00790F05">
        <w:rPr>
          <w:rFonts w:ascii="Palatino Linotype" w:eastAsia="Palatino Linotype" w:hAnsi="Palatino Linotype" w:cs="Palatino Linotype"/>
          <w:color w:val="000000" w:themeColor="text1"/>
          <w:sz w:val="24"/>
          <w:szCs w:val="24"/>
          <w:highlight w:val="yellow"/>
        </w:rPr>
        <w:t xml:space="preserve"> ve </w:t>
      </w:r>
      <w:proofErr w:type="gramStart"/>
      <w:r w:rsidR="00593F88" w:rsidRPr="00790F05">
        <w:rPr>
          <w:rFonts w:ascii="Palatino Linotype" w:eastAsia="Palatino Linotype" w:hAnsi="Palatino Linotype" w:cs="Palatino Linotype"/>
          <w:color w:val="000000" w:themeColor="text1"/>
          <w:sz w:val="24"/>
          <w:szCs w:val="24"/>
          <w:highlight w:val="yellow"/>
        </w:rPr>
        <w:t>4</w:t>
      </w:r>
      <w:r w:rsidRPr="00790F05">
        <w:rPr>
          <w:rFonts w:ascii="Palatino Linotype" w:eastAsia="Palatino Linotype" w:hAnsi="Palatino Linotype" w:cs="Palatino Linotype"/>
          <w:color w:val="000000" w:themeColor="text1"/>
          <w:sz w:val="24"/>
          <w:szCs w:val="24"/>
          <w:highlight w:val="yellow"/>
        </w:rPr>
        <w:t xml:space="preserve">  numaralı</w:t>
      </w:r>
      <w:proofErr w:type="gramEnd"/>
      <w:r w:rsidRPr="00790F05">
        <w:rPr>
          <w:rFonts w:ascii="Palatino Linotype" w:eastAsia="Palatino Linotype" w:hAnsi="Palatino Linotype" w:cs="Palatino Linotype"/>
          <w:color w:val="000000" w:themeColor="text1"/>
          <w:sz w:val="24"/>
          <w:szCs w:val="24"/>
          <w:highlight w:val="yellow"/>
        </w:rPr>
        <w:t xml:space="preserve"> </w:t>
      </w:r>
      <w:r w:rsidR="00593F88" w:rsidRPr="00790F05">
        <w:rPr>
          <w:rFonts w:ascii="Palatino Linotype" w:eastAsia="Palatino Linotype" w:hAnsi="Palatino Linotype" w:cs="Palatino Linotype"/>
          <w:color w:val="000000" w:themeColor="text1"/>
          <w:sz w:val="24"/>
          <w:szCs w:val="24"/>
          <w:highlight w:val="yellow"/>
        </w:rPr>
        <w:t>evrakları</w:t>
      </w:r>
      <w:r w:rsidRPr="00790F05">
        <w:rPr>
          <w:rFonts w:ascii="Palatino Linotype" w:eastAsia="Palatino Linotype" w:hAnsi="Palatino Linotype" w:cs="Palatino Linotype"/>
          <w:color w:val="000000" w:themeColor="text1"/>
          <w:sz w:val="24"/>
          <w:szCs w:val="24"/>
          <w:highlight w:val="yellow"/>
        </w:rPr>
        <w:t xml:space="preserve"> eklemesi gerekir.</w:t>
      </w:r>
    </w:p>
    <w:sectPr w:rsidR="009E0554" w:rsidRPr="00790F05" w:rsidSect="000D5D69">
      <w:footerReference w:type="default" r:id="rId8"/>
      <w:pgSz w:w="11906" w:h="16838"/>
      <w:pgMar w:top="1276" w:right="1416" w:bottom="1134"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5796" w14:textId="77777777" w:rsidR="00E670B8" w:rsidRDefault="00E670B8">
      <w:pPr>
        <w:spacing w:after="0" w:line="240" w:lineRule="auto"/>
      </w:pPr>
      <w:r>
        <w:separator/>
      </w:r>
    </w:p>
  </w:endnote>
  <w:endnote w:type="continuationSeparator" w:id="0">
    <w:p w14:paraId="682518E6" w14:textId="77777777" w:rsidR="00E670B8" w:rsidRDefault="00E6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6C31B502" w:rsidR="009E0554" w:rsidRDefault="00000000">
    <w:pPr>
      <w:pBdr>
        <w:top w:val="nil"/>
        <w:left w:val="nil"/>
        <w:bottom w:val="nil"/>
        <w:right w:val="nil"/>
        <w:between w:val="nil"/>
      </w:pBdr>
      <w:tabs>
        <w:tab w:val="center" w:pos="4536"/>
        <w:tab w:val="right" w:pos="9072"/>
      </w:tabs>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51C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p>
  <w:p w14:paraId="000000D0" w14:textId="77777777" w:rsidR="009E0554" w:rsidRDefault="009E0554">
    <w:pPr>
      <w:pBdr>
        <w:top w:val="nil"/>
        <w:left w:val="nil"/>
        <w:bottom w:val="nil"/>
        <w:right w:val="nil"/>
        <w:between w:val="nil"/>
      </w:pBdr>
      <w:tabs>
        <w:tab w:val="center" w:pos="4536"/>
        <w:tab w:val="right" w:pos="9072"/>
      </w:tabs>
      <w:spacing w:after="0" w:line="240" w:lineRule="auto"/>
      <w:rPr>
        <w:rFonts w:ascii="Palatino Linotype" w:eastAsia="Palatino Linotype" w:hAnsi="Palatino Linotype" w:cs="Palatino Linotyp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736B" w14:textId="77777777" w:rsidR="00E670B8" w:rsidRDefault="00E670B8">
      <w:pPr>
        <w:spacing w:after="0" w:line="240" w:lineRule="auto"/>
      </w:pPr>
      <w:r>
        <w:separator/>
      </w:r>
    </w:p>
  </w:footnote>
  <w:footnote w:type="continuationSeparator" w:id="0">
    <w:p w14:paraId="2961BCF0" w14:textId="77777777" w:rsidR="00E670B8" w:rsidRDefault="00E670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96C"/>
    <w:multiLevelType w:val="multilevel"/>
    <w:tmpl w:val="7FD6CA6A"/>
    <w:lvl w:ilvl="0">
      <w:start w:val="2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B7582A"/>
    <w:multiLevelType w:val="hybridMultilevel"/>
    <w:tmpl w:val="E86CFBA2"/>
    <w:lvl w:ilvl="0" w:tplc="4648A35E">
      <w:start w:val="1"/>
      <w:numFmt w:val="upperLetter"/>
      <w:lvlText w:val="%1."/>
      <w:lvlJc w:val="left"/>
      <w:pPr>
        <w:ind w:left="951" w:hanging="384"/>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A5A47F5"/>
    <w:multiLevelType w:val="multilevel"/>
    <w:tmpl w:val="E47C29A6"/>
    <w:lvl w:ilvl="0">
      <w:start w:val="1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E4394"/>
    <w:multiLevelType w:val="multilevel"/>
    <w:tmpl w:val="E0CEE4CA"/>
    <w:lvl w:ilvl="0">
      <w:start w:val="26"/>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C547C41"/>
    <w:multiLevelType w:val="multilevel"/>
    <w:tmpl w:val="F7D09E8E"/>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90D058E"/>
    <w:multiLevelType w:val="multilevel"/>
    <w:tmpl w:val="D74E65DE"/>
    <w:lvl w:ilvl="0">
      <w:start w:val="37"/>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1F336B"/>
    <w:multiLevelType w:val="multilevel"/>
    <w:tmpl w:val="7C9269EA"/>
    <w:lvl w:ilvl="0">
      <w:start w:val="6"/>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99C6E6B"/>
    <w:multiLevelType w:val="multilevel"/>
    <w:tmpl w:val="4B2C5C46"/>
    <w:lvl w:ilvl="0">
      <w:start w:val="12"/>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6274006"/>
    <w:multiLevelType w:val="multilevel"/>
    <w:tmpl w:val="4C0A7DA6"/>
    <w:lvl w:ilvl="0">
      <w:start w:val="1"/>
      <w:numFmt w:val="decimal"/>
      <w:lvlText w:val="%1."/>
      <w:lvlJc w:val="left"/>
      <w:pPr>
        <w:ind w:left="1320" w:hanging="360"/>
      </w:pPr>
      <w:rPr>
        <w:b/>
        <w:i w:val="0"/>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9" w15:restartNumberingAfterBreak="0">
    <w:nsid w:val="373F2868"/>
    <w:multiLevelType w:val="multilevel"/>
    <w:tmpl w:val="9F5AE804"/>
    <w:lvl w:ilvl="0">
      <w:start w:val="48"/>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F544C35"/>
    <w:multiLevelType w:val="multilevel"/>
    <w:tmpl w:val="4C7CB2A8"/>
    <w:lvl w:ilvl="0">
      <w:start w:val="18"/>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A527E04"/>
    <w:multiLevelType w:val="multilevel"/>
    <w:tmpl w:val="D23E1712"/>
    <w:lvl w:ilvl="0">
      <w:start w:val="26"/>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E0E23B2"/>
    <w:multiLevelType w:val="multilevel"/>
    <w:tmpl w:val="59602FBA"/>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01749E7"/>
    <w:multiLevelType w:val="multilevel"/>
    <w:tmpl w:val="5A4C7B5C"/>
    <w:lvl w:ilvl="0">
      <w:start w:val="3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FD23FA1"/>
    <w:multiLevelType w:val="multilevel"/>
    <w:tmpl w:val="AF886C18"/>
    <w:lvl w:ilvl="0">
      <w:start w:val="1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619903C3"/>
    <w:multiLevelType w:val="multilevel"/>
    <w:tmpl w:val="E076C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9D7438"/>
    <w:multiLevelType w:val="multilevel"/>
    <w:tmpl w:val="407C23BA"/>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91806C4"/>
    <w:multiLevelType w:val="multilevel"/>
    <w:tmpl w:val="6486DD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776FEB"/>
    <w:multiLevelType w:val="multilevel"/>
    <w:tmpl w:val="C932F5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56B8A"/>
    <w:multiLevelType w:val="multilevel"/>
    <w:tmpl w:val="3416A964"/>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40955144">
    <w:abstractNumId w:val="8"/>
  </w:num>
  <w:num w:numId="2" w16cid:durableId="1201943072">
    <w:abstractNumId w:val="12"/>
  </w:num>
  <w:num w:numId="3" w16cid:durableId="545021732">
    <w:abstractNumId w:val="6"/>
  </w:num>
  <w:num w:numId="4" w16cid:durableId="1586528091">
    <w:abstractNumId w:val="1"/>
  </w:num>
  <w:num w:numId="5" w16cid:durableId="1970017339">
    <w:abstractNumId w:val="16"/>
  </w:num>
  <w:num w:numId="6" w16cid:durableId="784348112">
    <w:abstractNumId w:val="7"/>
  </w:num>
  <w:num w:numId="7" w16cid:durableId="2028217377">
    <w:abstractNumId w:val="14"/>
  </w:num>
  <w:num w:numId="8" w16cid:durableId="809783624">
    <w:abstractNumId w:val="10"/>
  </w:num>
  <w:num w:numId="9" w16cid:durableId="565844722">
    <w:abstractNumId w:val="0"/>
  </w:num>
  <w:num w:numId="10" w16cid:durableId="401801699">
    <w:abstractNumId w:val="19"/>
  </w:num>
  <w:num w:numId="11" w16cid:durableId="1615211041">
    <w:abstractNumId w:val="3"/>
  </w:num>
  <w:num w:numId="12" w16cid:durableId="989484163">
    <w:abstractNumId w:val="18"/>
  </w:num>
  <w:num w:numId="13" w16cid:durableId="645356185">
    <w:abstractNumId w:val="17"/>
  </w:num>
  <w:num w:numId="14" w16cid:durableId="935092167">
    <w:abstractNumId w:val="15"/>
  </w:num>
  <w:num w:numId="15" w16cid:durableId="229659918">
    <w:abstractNumId w:val="11"/>
  </w:num>
  <w:num w:numId="16" w16cid:durableId="329871154">
    <w:abstractNumId w:val="13"/>
  </w:num>
  <w:num w:numId="17" w16cid:durableId="2079788309">
    <w:abstractNumId w:val="5"/>
  </w:num>
  <w:num w:numId="18" w16cid:durableId="1328245030">
    <w:abstractNumId w:val="4"/>
  </w:num>
  <w:num w:numId="19" w16cid:durableId="608586602">
    <w:abstractNumId w:val="9"/>
  </w:num>
  <w:num w:numId="20" w16cid:durableId="1056125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54"/>
    <w:rsid w:val="00000F6D"/>
    <w:rsid w:val="00007559"/>
    <w:rsid w:val="000B1DE1"/>
    <w:rsid w:val="000C56D7"/>
    <w:rsid w:val="000D5D69"/>
    <w:rsid w:val="001322B1"/>
    <w:rsid w:val="00156659"/>
    <w:rsid w:val="00173FAF"/>
    <w:rsid w:val="001878A9"/>
    <w:rsid w:val="001A2DBB"/>
    <w:rsid w:val="001B7936"/>
    <w:rsid w:val="001F67CC"/>
    <w:rsid w:val="00224DF3"/>
    <w:rsid w:val="002623BB"/>
    <w:rsid w:val="00277F14"/>
    <w:rsid w:val="002861B2"/>
    <w:rsid w:val="002A0DDA"/>
    <w:rsid w:val="002E5FEF"/>
    <w:rsid w:val="0032694A"/>
    <w:rsid w:val="003370BA"/>
    <w:rsid w:val="00340C74"/>
    <w:rsid w:val="00352475"/>
    <w:rsid w:val="00367D34"/>
    <w:rsid w:val="003945F9"/>
    <w:rsid w:val="0039725D"/>
    <w:rsid w:val="003A1025"/>
    <w:rsid w:val="003C7853"/>
    <w:rsid w:val="00413A39"/>
    <w:rsid w:val="0044701B"/>
    <w:rsid w:val="00456CB5"/>
    <w:rsid w:val="00462AB8"/>
    <w:rsid w:val="00477C8F"/>
    <w:rsid w:val="00496041"/>
    <w:rsid w:val="004A0AF5"/>
    <w:rsid w:val="004A148E"/>
    <w:rsid w:val="004A33CE"/>
    <w:rsid w:val="004A378D"/>
    <w:rsid w:val="004F4D79"/>
    <w:rsid w:val="005301AF"/>
    <w:rsid w:val="005664E3"/>
    <w:rsid w:val="0057230F"/>
    <w:rsid w:val="00581FCF"/>
    <w:rsid w:val="00586784"/>
    <w:rsid w:val="00593F88"/>
    <w:rsid w:val="006231F2"/>
    <w:rsid w:val="00644FFE"/>
    <w:rsid w:val="006A066A"/>
    <w:rsid w:val="006A2D1E"/>
    <w:rsid w:val="006A41BF"/>
    <w:rsid w:val="007417AC"/>
    <w:rsid w:val="007709A8"/>
    <w:rsid w:val="0078480C"/>
    <w:rsid w:val="00790F05"/>
    <w:rsid w:val="00793F3B"/>
    <w:rsid w:val="007A2F3F"/>
    <w:rsid w:val="007A7436"/>
    <w:rsid w:val="007A7CFE"/>
    <w:rsid w:val="007B38DD"/>
    <w:rsid w:val="008E1E66"/>
    <w:rsid w:val="008E790A"/>
    <w:rsid w:val="00960663"/>
    <w:rsid w:val="00982F16"/>
    <w:rsid w:val="00997E8B"/>
    <w:rsid w:val="009E0554"/>
    <w:rsid w:val="009F7E2E"/>
    <w:rsid w:val="00A74F38"/>
    <w:rsid w:val="00B121DE"/>
    <w:rsid w:val="00B17A1E"/>
    <w:rsid w:val="00B21384"/>
    <w:rsid w:val="00B763D9"/>
    <w:rsid w:val="00B86266"/>
    <w:rsid w:val="00B96CFF"/>
    <w:rsid w:val="00B979A3"/>
    <w:rsid w:val="00BC6EAE"/>
    <w:rsid w:val="00BD3FF7"/>
    <w:rsid w:val="00C00613"/>
    <w:rsid w:val="00C10EE5"/>
    <w:rsid w:val="00C13D82"/>
    <w:rsid w:val="00C60AC7"/>
    <w:rsid w:val="00C61881"/>
    <w:rsid w:val="00C73194"/>
    <w:rsid w:val="00C83723"/>
    <w:rsid w:val="00C93400"/>
    <w:rsid w:val="00C9641C"/>
    <w:rsid w:val="00CA5A82"/>
    <w:rsid w:val="00CD119B"/>
    <w:rsid w:val="00CF01D1"/>
    <w:rsid w:val="00CF1DC2"/>
    <w:rsid w:val="00D53167"/>
    <w:rsid w:val="00D53C08"/>
    <w:rsid w:val="00D55AD5"/>
    <w:rsid w:val="00D647B8"/>
    <w:rsid w:val="00D72E31"/>
    <w:rsid w:val="00DA283E"/>
    <w:rsid w:val="00DA58B0"/>
    <w:rsid w:val="00E51CE3"/>
    <w:rsid w:val="00E670B8"/>
    <w:rsid w:val="00E80969"/>
    <w:rsid w:val="00ED5188"/>
    <w:rsid w:val="00F25DB8"/>
    <w:rsid w:val="00F75237"/>
    <w:rsid w:val="00F83F01"/>
    <w:rsid w:val="00F938E7"/>
    <w:rsid w:val="00F93B56"/>
    <w:rsid w:val="00FF38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1ADC"/>
  <w15:docId w15:val="{598677FC-E56A-4A3D-AAA8-0B7D8B3B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line="256" w:lineRule="auto"/>
      <w:jc w:val="both"/>
      <w:outlineLvl w:val="0"/>
    </w:pPr>
    <w:rPr>
      <w:rFonts w:ascii="Palatino Linotype" w:eastAsia="Palatino Linotype" w:hAnsi="Palatino Linotype" w:cs="Palatino Linotype"/>
      <w:color w:val="000000"/>
      <w:sz w:val="24"/>
      <w:szCs w:val="24"/>
    </w:rPr>
  </w:style>
  <w:style w:type="paragraph" w:styleId="Balk2">
    <w:name w:val="heading 2"/>
    <w:basedOn w:val="Normal"/>
    <w:next w:val="Normal"/>
    <w:uiPriority w:val="9"/>
    <w:semiHidden/>
    <w:unhideWhenUsed/>
    <w:qFormat/>
    <w:pPr>
      <w:keepNext/>
      <w:keepLines/>
      <w:spacing w:before="40" w:after="0" w:line="256" w:lineRule="auto"/>
      <w:ind w:left="927" w:hanging="360"/>
      <w:jc w:val="both"/>
      <w:outlineLvl w:val="1"/>
    </w:pPr>
    <w:rPr>
      <w:rFonts w:ascii="Palatino Linotype" w:eastAsia="Palatino Linotype" w:hAnsi="Palatino Linotype" w:cs="Palatino Linotype"/>
      <w:b/>
      <w:color w:val="000000"/>
    </w:rPr>
  </w:style>
  <w:style w:type="paragraph" w:styleId="Balk3">
    <w:name w:val="heading 3"/>
    <w:basedOn w:val="Normal"/>
    <w:next w:val="Normal"/>
    <w:uiPriority w:val="9"/>
    <w:semiHidden/>
    <w:unhideWhenUsed/>
    <w:qFormat/>
    <w:pPr>
      <w:keepNext/>
      <w:keepLines/>
      <w:spacing w:before="40" w:after="0" w:line="256" w:lineRule="auto"/>
      <w:outlineLvl w:val="2"/>
    </w:pPr>
    <w:rPr>
      <w:rFonts w:ascii="Palatino Linotype" w:eastAsia="Palatino Linotype" w:hAnsi="Palatino Linotype" w:cs="Palatino Linotype"/>
    </w:rPr>
  </w:style>
  <w:style w:type="paragraph" w:styleId="Balk4">
    <w:name w:val="heading 4"/>
    <w:basedOn w:val="Normal"/>
    <w:next w:val="Normal"/>
    <w:uiPriority w:val="9"/>
    <w:semiHidden/>
    <w:unhideWhenUsed/>
    <w:qFormat/>
    <w:pPr>
      <w:keepNext/>
      <w:keepLines/>
      <w:spacing w:before="80" w:after="40"/>
      <w:outlineLvl w:val="3"/>
    </w:pPr>
    <w:rPr>
      <w:b/>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paragraph" w:styleId="Altyaz">
    <w:name w:val="Subtitle"/>
    <w:basedOn w:val="Normal"/>
    <w:next w:val="Normal"/>
    <w:uiPriority w:val="11"/>
    <w:qFormat/>
    <w:rPr>
      <w:color w:val="595959"/>
      <w:sz w:val="28"/>
      <w:szCs w:val="28"/>
    </w:rPr>
  </w:style>
  <w:style w:type="paragraph" w:styleId="Dzeltme">
    <w:name w:val="Revision"/>
    <w:hidden/>
    <w:uiPriority w:val="99"/>
    <w:semiHidden/>
    <w:rsid w:val="00E51CE3"/>
    <w:pPr>
      <w:spacing w:after="0" w:line="240" w:lineRule="auto"/>
    </w:pPr>
  </w:style>
  <w:style w:type="paragraph" w:styleId="ListeParagraf">
    <w:name w:val="List Paragraph"/>
    <w:basedOn w:val="Normal"/>
    <w:uiPriority w:val="34"/>
    <w:qFormat/>
    <w:rsid w:val="00340C74"/>
    <w:pPr>
      <w:ind w:left="720"/>
      <w:contextualSpacing/>
    </w:pPr>
  </w:style>
  <w:style w:type="paragraph" w:styleId="DipnotMetni">
    <w:name w:val="footnote text"/>
    <w:basedOn w:val="Normal"/>
    <w:link w:val="DipnotMetniChar"/>
    <w:uiPriority w:val="99"/>
    <w:semiHidden/>
    <w:unhideWhenUsed/>
    <w:rsid w:val="00586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6784"/>
    <w:rPr>
      <w:sz w:val="20"/>
      <w:szCs w:val="20"/>
    </w:rPr>
  </w:style>
  <w:style w:type="character" w:styleId="DipnotBavurusu">
    <w:name w:val="footnote reference"/>
    <w:basedOn w:val="VarsaylanParagrafYazTipi"/>
    <w:uiPriority w:val="99"/>
    <w:semiHidden/>
    <w:unhideWhenUsed/>
    <w:rsid w:val="00586784"/>
    <w:rPr>
      <w:vertAlign w:val="superscript"/>
    </w:rPr>
  </w:style>
  <w:style w:type="paragraph" w:styleId="NormalWeb">
    <w:name w:val="Normal (Web)"/>
    <w:basedOn w:val="Normal"/>
    <w:uiPriority w:val="99"/>
    <w:semiHidden/>
    <w:unhideWhenUsed/>
    <w:rsid w:val="00413A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91F4F-2032-4AF5-B330-D82F16DE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6167</Words>
  <Characters>35153</Characters>
  <Application>Microsoft Office Word</Application>
  <DocSecurity>0</DocSecurity>
  <Lines>292</Lines>
  <Paragraphs>82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 Y</cp:lastModifiedBy>
  <cp:revision>2</cp:revision>
  <dcterms:created xsi:type="dcterms:W3CDTF">2026-05-15T22:07:00Z</dcterms:created>
  <dcterms:modified xsi:type="dcterms:W3CDTF">2026-05-15T22:07:00Z</dcterms:modified>
</cp:coreProperties>
</file>